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37A1B1" w14:textId="77777777" w:rsidR="00A028D8" w:rsidRDefault="00A028D8" w:rsidP="00A028D8">
      <w:pPr>
        <w:spacing w:line="360" w:lineRule="auto"/>
        <w:jc w:val="center"/>
        <w:rPr>
          <w:b/>
        </w:rPr>
      </w:pPr>
      <w:r>
        <w:rPr>
          <w:b/>
        </w:rPr>
        <w:t>APPEAL BY GREYSTOKE LAND LTD</w:t>
      </w:r>
    </w:p>
    <w:p w14:paraId="3E42C4B7" w14:textId="77777777" w:rsidR="00A028D8" w:rsidRDefault="00A028D8" w:rsidP="00A028D8">
      <w:pPr>
        <w:spacing w:line="360" w:lineRule="auto"/>
        <w:jc w:val="center"/>
        <w:rPr>
          <w:b/>
        </w:rPr>
      </w:pPr>
    </w:p>
    <w:p w14:paraId="59C8E9C8" w14:textId="56F9B870" w:rsidR="00A028D8" w:rsidRDefault="00A028D8" w:rsidP="00A028D8">
      <w:pPr>
        <w:spacing w:line="360" w:lineRule="auto"/>
        <w:jc w:val="center"/>
        <w:rPr>
          <w:b/>
        </w:rPr>
      </w:pPr>
      <w:r>
        <w:rPr>
          <w:b/>
        </w:rPr>
        <w:t>WOODLANDS PARK LANDFILL SITE, LAND SOUTH OF SLOUGH ROAD, IVER, BUCKINGHAMSHIRE</w:t>
      </w:r>
    </w:p>
    <w:p w14:paraId="0BBD8B34" w14:textId="77777777" w:rsidR="00A028D8" w:rsidRDefault="00A028D8" w:rsidP="00A028D8">
      <w:pPr>
        <w:spacing w:line="276" w:lineRule="auto"/>
        <w:jc w:val="center"/>
        <w:rPr>
          <w:b/>
          <w:color w:val="000000"/>
          <w:sz w:val="24"/>
          <w:szCs w:val="24"/>
        </w:rPr>
      </w:pPr>
      <w:r>
        <w:rPr>
          <w:b/>
          <w:color w:val="000000"/>
          <w:sz w:val="24"/>
          <w:szCs w:val="24"/>
        </w:rPr>
        <w:t>_____________________________________________________________</w:t>
      </w:r>
    </w:p>
    <w:p w14:paraId="019212CD" w14:textId="77777777" w:rsidR="00A028D8" w:rsidRDefault="00A028D8" w:rsidP="00A028D8">
      <w:pPr>
        <w:spacing w:line="276" w:lineRule="auto"/>
        <w:jc w:val="center"/>
        <w:rPr>
          <w:b/>
          <w:color w:val="000000"/>
          <w:sz w:val="24"/>
          <w:szCs w:val="24"/>
        </w:rPr>
      </w:pPr>
    </w:p>
    <w:p w14:paraId="5BE7EBD5" w14:textId="77777777" w:rsidR="00A028D8" w:rsidRDefault="00A028D8" w:rsidP="00A028D8">
      <w:pPr>
        <w:spacing w:line="276" w:lineRule="auto"/>
        <w:jc w:val="center"/>
        <w:rPr>
          <w:b/>
          <w:color w:val="000000"/>
          <w:sz w:val="24"/>
          <w:szCs w:val="24"/>
        </w:rPr>
      </w:pPr>
      <w:r>
        <w:rPr>
          <w:b/>
          <w:color w:val="000000"/>
          <w:sz w:val="24"/>
          <w:szCs w:val="24"/>
        </w:rPr>
        <w:t>STATEMENT ON BEHALF OF FOXGLOVE AND GLOBAL ACTION PLAN</w:t>
      </w:r>
    </w:p>
    <w:p w14:paraId="6B4F2E68" w14:textId="77777777" w:rsidR="00A028D8" w:rsidRDefault="00A028D8" w:rsidP="00A028D8">
      <w:pPr>
        <w:spacing w:line="360" w:lineRule="auto"/>
        <w:jc w:val="center"/>
        <w:rPr>
          <w:sz w:val="24"/>
          <w:szCs w:val="24"/>
        </w:rPr>
      </w:pPr>
      <w:r>
        <w:rPr>
          <w:b/>
          <w:color w:val="000000"/>
          <w:sz w:val="24"/>
          <w:szCs w:val="24"/>
        </w:rPr>
        <w:t>_____________________________________________________________</w:t>
      </w:r>
    </w:p>
    <w:p w14:paraId="57B443E4" w14:textId="77777777" w:rsidR="00A028D8" w:rsidRDefault="00A028D8" w:rsidP="00A028D8">
      <w:pPr>
        <w:spacing w:line="360" w:lineRule="auto"/>
        <w:jc w:val="both"/>
      </w:pPr>
    </w:p>
    <w:p w14:paraId="1A40BC5C" w14:textId="0BA58F23" w:rsidR="00A10390" w:rsidRDefault="00A10390" w:rsidP="00A10390">
      <w:pPr>
        <w:spacing w:line="360" w:lineRule="auto"/>
        <w:jc w:val="right"/>
      </w:pPr>
      <w:r>
        <w:t>10 December 2024</w:t>
      </w:r>
    </w:p>
    <w:p w14:paraId="399D6243" w14:textId="06989FE4" w:rsidR="00A028D8" w:rsidRDefault="00A028D8" w:rsidP="00A028D8">
      <w:pPr>
        <w:numPr>
          <w:ilvl w:val="0"/>
          <w:numId w:val="3"/>
        </w:numPr>
        <w:pBdr>
          <w:top w:val="nil"/>
          <w:left w:val="nil"/>
          <w:bottom w:val="nil"/>
          <w:right w:val="nil"/>
          <w:between w:val="nil"/>
        </w:pBdr>
        <w:spacing w:line="360" w:lineRule="auto"/>
        <w:jc w:val="both"/>
        <w:rPr>
          <w:color w:val="000000"/>
        </w:rPr>
      </w:pPr>
      <w:r>
        <w:rPr>
          <w:color w:val="000000"/>
        </w:rPr>
        <w:t xml:space="preserve">My name is Martha </w:t>
      </w:r>
      <w:proofErr w:type="gramStart"/>
      <w:r>
        <w:rPr>
          <w:color w:val="000000"/>
        </w:rPr>
        <w:t>Dark</w:t>
      </w:r>
      <w:proofErr w:type="gramEnd"/>
      <w:r>
        <w:rPr>
          <w:color w:val="000000"/>
        </w:rPr>
        <w:t xml:space="preserve"> and I am </w:t>
      </w:r>
      <w:r>
        <w:t xml:space="preserve">Co-Executive </w:t>
      </w:r>
      <w:r>
        <w:rPr>
          <w:color w:val="000000"/>
        </w:rPr>
        <w:t xml:space="preserve">Director of Foxglove. Foxglove </w:t>
      </w:r>
      <w:r>
        <w:t xml:space="preserve">works to make technology fair for everyone. </w:t>
      </w:r>
      <w:r>
        <w:rPr>
          <w:color w:val="000000"/>
        </w:rPr>
        <w:t>I make this statement on behalf of Foxglove</w:t>
      </w:r>
      <w:r w:rsidR="000D3254">
        <w:rPr>
          <w:rStyle w:val="FootnoteReference"/>
          <w:color w:val="000000"/>
        </w:rPr>
        <w:footnoteReference w:id="1"/>
      </w:r>
      <w:r>
        <w:rPr>
          <w:color w:val="000000"/>
        </w:rPr>
        <w:t xml:space="preserve"> and our colleagues at Global Action Plan, an environmental charity which works </w:t>
      </w:r>
      <w:r>
        <w:t>to</w:t>
      </w:r>
      <w:r>
        <w:rPr>
          <w:color w:val="000000"/>
        </w:rPr>
        <w:t xml:space="preserve"> </w:t>
      </w:r>
      <w:r>
        <w:t>improve</w:t>
      </w:r>
      <w:r>
        <w:rPr>
          <w:color w:val="000000"/>
        </w:rPr>
        <w:t xml:space="preserve"> the health of people and the planet.</w:t>
      </w:r>
      <w:r>
        <w:rPr>
          <w:color w:val="000000"/>
          <w:vertAlign w:val="superscript"/>
        </w:rPr>
        <w:footnoteReference w:id="2"/>
      </w:r>
    </w:p>
    <w:p w14:paraId="65CF7569" w14:textId="77777777" w:rsidR="00A028D8" w:rsidRDefault="00A028D8" w:rsidP="00A028D8">
      <w:pPr>
        <w:pBdr>
          <w:top w:val="nil"/>
          <w:left w:val="nil"/>
          <w:bottom w:val="nil"/>
          <w:right w:val="nil"/>
          <w:between w:val="nil"/>
        </w:pBdr>
        <w:spacing w:line="360" w:lineRule="auto"/>
        <w:ind w:left="720"/>
        <w:jc w:val="both"/>
        <w:rPr>
          <w:color w:val="000000"/>
        </w:rPr>
      </w:pPr>
    </w:p>
    <w:p w14:paraId="62D82B83" w14:textId="1D2B41E3" w:rsidR="00A028D8" w:rsidRDefault="00A028D8" w:rsidP="00A028D8">
      <w:pPr>
        <w:numPr>
          <w:ilvl w:val="0"/>
          <w:numId w:val="3"/>
        </w:numPr>
        <w:spacing w:line="360" w:lineRule="auto"/>
        <w:jc w:val="both"/>
      </w:pPr>
      <w:r>
        <w:t xml:space="preserve">We are here today because we wish to object to the Proposed Scheme. Our objection is threefold: 1) the dearth of information about the environmental impact of the development; 2) the vague detail provided by the developers on the environmental benefits promised to the public to mitigate such impacts; and 3) the absence of any concrete measures to hold the developers to account on these issues. I </w:t>
      </w:r>
      <w:r w:rsidR="000D3254">
        <w:t>am going to</w:t>
      </w:r>
      <w:r>
        <w:t xml:space="preserve"> address each in turn.  </w:t>
      </w:r>
    </w:p>
    <w:p w14:paraId="1A0A2FC9" w14:textId="77777777" w:rsidR="00A028D8" w:rsidRDefault="00A028D8" w:rsidP="00A028D8">
      <w:pPr>
        <w:pBdr>
          <w:top w:val="nil"/>
          <w:left w:val="nil"/>
          <w:bottom w:val="nil"/>
          <w:right w:val="nil"/>
          <w:between w:val="nil"/>
        </w:pBdr>
        <w:rPr>
          <w:color w:val="000000"/>
        </w:rPr>
      </w:pPr>
    </w:p>
    <w:p w14:paraId="13D7FAC7" w14:textId="77777777" w:rsidR="00A028D8" w:rsidRDefault="00A028D8" w:rsidP="00A028D8">
      <w:pPr>
        <w:numPr>
          <w:ilvl w:val="0"/>
          <w:numId w:val="3"/>
        </w:numPr>
        <w:pBdr>
          <w:top w:val="nil"/>
          <w:left w:val="nil"/>
          <w:bottom w:val="nil"/>
          <w:right w:val="nil"/>
          <w:between w:val="nil"/>
        </w:pBdr>
        <w:spacing w:line="360" w:lineRule="auto"/>
        <w:jc w:val="both"/>
        <w:rPr>
          <w:color w:val="000000"/>
        </w:rPr>
      </w:pPr>
      <w:r>
        <w:t xml:space="preserve">In general, I hope we all agree that any data centres built must have a positive impact on our environment, they must not cost us our critical national resources of water and </w:t>
      </w:r>
      <w:r>
        <w:rPr>
          <w:color w:val="000000"/>
        </w:rPr>
        <w:t>energy</w:t>
      </w:r>
      <w:r>
        <w:t>, and they must not prevent the</w:t>
      </w:r>
      <w:r>
        <w:rPr>
          <w:color w:val="000000"/>
        </w:rPr>
        <w:t xml:space="preserve"> UK</w:t>
      </w:r>
      <w:r>
        <w:t xml:space="preserve"> economy from</w:t>
      </w:r>
      <w:r>
        <w:rPr>
          <w:color w:val="000000"/>
        </w:rPr>
        <w:t xml:space="preserve"> </w:t>
      </w:r>
      <w:r>
        <w:t>transitioning</w:t>
      </w:r>
      <w:r>
        <w:rPr>
          <w:color w:val="000000"/>
        </w:rPr>
        <w:t xml:space="preserve"> to Net Zero and green energy.</w:t>
      </w:r>
    </w:p>
    <w:p w14:paraId="5FBC6614" w14:textId="77777777" w:rsidR="00A028D8" w:rsidRDefault="00A028D8" w:rsidP="00A028D8">
      <w:pPr>
        <w:pBdr>
          <w:top w:val="nil"/>
          <w:left w:val="nil"/>
          <w:bottom w:val="nil"/>
          <w:right w:val="nil"/>
          <w:between w:val="nil"/>
        </w:pBdr>
        <w:spacing w:line="360" w:lineRule="auto"/>
        <w:ind w:left="720"/>
        <w:jc w:val="both"/>
      </w:pPr>
    </w:p>
    <w:p w14:paraId="59A4F989" w14:textId="77777777" w:rsidR="00A028D8" w:rsidRDefault="00A028D8" w:rsidP="00A028D8">
      <w:pPr>
        <w:numPr>
          <w:ilvl w:val="0"/>
          <w:numId w:val="3"/>
        </w:numPr>
        <w:pBdr>
          <w:top w:val="nil"/>
          <w:left w:val="nil"/>
          <w:bottom w:val="nil"/>
          <w:right w:val="nil"/>
          <w:between w:val="nil"/>
        </w:pBdr>
        <w:spacing w:line="360" w:lineRule="auto"/>
        <w:jc w:val="both"/>
      </w:pPr>
      <w:r>
        <w:rPr>
          <w:color w:val="000000"/>
        </w:rPr>
        <w:t xml:space="preserve">Our first concern relates to the lack of an Environmental Impact Assessment (‘the EIA’). In its screening opinion the LPA took the view that the Proposed Scheme was unlikely to have significant environmental </w:t>
      </w:r>
      <w:proofErr w:type="gramStart"/>
      <w:r>
        <w:rPr>
          <w:color w:val="000000"/>
        </w:rPr>
        <w:t>effects</w:t>
      </w:r>
      <w:proofErr w:type="gramEnd"/>
      <w:r>
        <w:rPr>
          <w:color w:val="000000"/>
        </w:rPr>
        <w:t xml:space="preserve"> and an EIA was therefore not required.</w:t>
      </w:r>
      <w:r>
        <w:rPr>
          <w:color w:val="000000"/>
          <w:vertAlign w:val="superscript"/>
        </w:rPr>
        <w:footnoteReference w:id="3"/>
      </w:r>
      <w:r>
        <w:rPr>
          <w:color w:val="000000"/>
        </w:rPr>
        <w:t xml:space="preserve"> </w:t>
      </w:r>
    </w:p>
    <w:p w14:paraId="2905E8AB" w14:textId="77777777" w:rsidR="00A028D8" w:rsidRDefault="00A028D8" w:rsidP="00A028D8">
      <w:pPr>
        <w:pBdr>
          <w:top w:val="nil"/>
          <w:left w:val="nil"/>
          <w:bottom w:val="nil"/>
          <w:right w:val="nil"/>
          <w:between w:val="nil"/>
        </w:pBdr>
        <w:spacing w:line="360" w:lineRule="auto"/>
        <w:ind w:left="720"/>
        <w:jc w:val="both"/>
      </w:pPr>
    </w:p>
    <w:p w14:paraId="62BBB12D" w14:textId="41239DC1" w:rsidR="00A028D8" w:rsidRDefault="00A028D8" w:rsidP="00A028D8">
      <w:pPr>
        <w:numPr>
          <w:ilvl w:val="0"/>
          <w:numId w:val="3"/>
        </w:numPr>
        <w:pBdr>
          <w:top w:val="nil"/>
          <w:left w:val="nil"/>
          <w:bottom w:val="nil"/>
          <w:right w:val="nil"/>
          <w:between w:val="nil"/>
        </w:pBdr>
        <w:spacing w:line="360" w:lineRule="auto"/>
        <w:jc w:val="both"/>
      </w:pPr>
      <w:r>
        <w:t xml:space="preserve">That was an error. </w:t>
      </w:r>
      <w:r>
        <w:rPr>
          <w:color w:val="000000"/>
        </w:rPr>
        <w:t xml:space="preserve">Data centres are extremely resource intensive. The LPA </w:t>
      </w:r>
      <w:r>
        <w:t>agrees:</w:t>
      </w:r>
      <w:r>
        <w:rPr>
          <w:color w:val="000000"/>
        </w:rPr>
        <w:t xml:space="preserve"> “the development by reason of its use will require a large amount of power to operate.” It then goes on to recognise that the power is likely to be provided by nearby Iver Power Station.</w:t>
      </w:r>
      <w:r>
        <w:rPr>
          <w:color w:val="000000"/>
          <w:vertAlign w:val="superscript"/>
        </w:rPr>
        <w:footnoteReference w:id="4"/>
      </w:r>
    </w:p>
    <w:p w14:paraId="5588E902" w14:textId="77777777" w:rsidR="00A028D8" w:rsidRDefault="00A028D8" w:rsidP="00A028D8">
      <w:pPr>
        <w:pBdr>
          <w:top w:val="nil"/>
          <w:left w:val="nil"/>
          <w:bottom w:val="nil"/>
          <w:right w:val="nil"/>
          <w:between w:val="nil"/>
        </w:pBdr>
        <w:ind w:left="720"/>
        <w:rPr>
          <w:color w:val="000000"/>
        </w:rPr>
      </w:pPr>
    </w:p>
    <w:p w14:paraId="005FCD85" w14:textId="0E67D4F3" w:rsidR="00A028D8" w:rsidRDefault="00A028D8" w:rsidP="00A028D8">
      <w:pPr>
        <w:numPr>
          <w:ilvl w:val="0"/>
          <w:numId w:val="3"/>
        </w:numPr>
        <w:pBdr>
          <w:top w:val="nil"/>
          <w:left w:val="nil"/>
          <w:bottom w:val="nil"/>
          <w:right w:val="nil"/>
          <w:between w:val="nil"/>
        </w:pBdr>
        <w:spacing w:line="360" w:lineRule="auto"/>
        <w:jc w:val="both"/>
      </w:pPr>
      <w:r>
        <w:t xml:space="preserve">A </w:t>
      </w:r>
      <w:r>
        <w:rPr>
          <w:color w:val="000000"/>
        </w:rPr>
        <w:t>development which will require high levels of electricity to operate, w</w:t>
      </w:r>
      <w:r>
        <w:t xml:space="preserve">ith its </w:t>
      </w:r>
      <w:r>
        <w:rPr>
          <w:color w:val="000000"/>
        </w:rPr>
        <w:t xml:space="preserve">electricity at </w:t>
      </w:r>
      <w:r>
        <w:t>least</w:t>
      </w:r>
      <w:r>
        <w:rPr>
          <w:color w:val="000000"/>
        </w:rPr>
        <w:t xml:space="preserve"> </w:t>
      </w:r>
      <w:r>
        <w:t>partially</w:t>
      </w:r>
      <w:r>
        <w:rPr>
          <w:color w:val="000000"/>
        </w:rPr>
        <w:t>, and certainly in t</w:t>
      </w:r>
      <w:r>
        <w:t>he immediate term, being sourced</w:t>
      </w:r>
      <w:r>
        <w:rPr>
          <w:color w:val="000000"/>
        </w:rPr>
        <w:t xml:space="preserve"> from non-renewable energy, </w:t>
      </w:r>
      <w:r>
        <w:t xml:space="preserve">will have </w:t>
      </w:r>
      <w:r>
        <w:rPr>
          <w:color w:val="000000"/>
        </w:rPr>
        <w:t>significant environmental impacts.</w:t>
      </w:r>
    </w:p>
    <w:p w14:paraId="765C07FB" w14:textId="77777777" w:rsidR="00A028D8" w:rsidRDefault="00A028D8" w:rsidP="00A028D8">
      <w:pPr>
        <w:pBdr>
          <w:top w:val="nil"/>
          <w:left w:val="nil"/>
          <w:bottom w:val="nil"/>
          <w:right w:val="nil"/>
          <w:between w:val="nil"/>
        </w:pBdr>
        <w:spacing w:line="360" w:lineRule="auto"/>
        <w:ind w:left="720"/>
        <w:jc w:val="both"/>
      </w:pPr>
    </w:p>
    <w:p w14:paraId="43AB2FE1" w14:textId="77777777" w:rsidR="00A028D8" w:rsidRDefault="00A028D8" w:rsidP="00A028D8">
      <w:pPr>
        <w:numPr>
          <w:ilvl w:val="0"/>
          <w:numId w:val="3"/>
        </w:numPr>
        <w:pBdr>
          <w:top w:val="nil"/>
          <w:left w:val="nil"/>
          <w:bottom w:val="nil"/>
          <w:right w:val="nil"/>
          <w:between w:val="nil"/>
        </w:pBdr>
        <w:spacing w:line="360" w:lineRule="auto"/>
        <w:jc w:val="both"/>
      </w:pPr>
      <w:r>
        <w:t xml:space="preserve">It will also have significant impacts on the other planning ambitions of the local authority. Let me tell you about West London. There, in </w:t>
      </w:r>
      <w:r>
        <w:rPr>
          <w:color w:val="000000"/>
        </w:rPr>
        <w:t xml:space="preserve">2022, </w:t>
      </w:r>
      <w:r>
        <w:t>the Greater London Authority imposed an effective ban on new housing projects in three boroughs of west London</w:t>
      </w:r>
      <w:r>
        <w:rPr>
          <w:color w:val="1155CC"/>
          <w:u w:val="single"/>
          <w:vertAlign w:val="superscript"/>
        </w:rPr>
        <w:footnoteReference w:id="5"/>
      </w:r>
      <w:r>
        <w:t xml:space="preserve"> because the electricity grid had run out of juice. The GLA highlighted how the construction of data centres in the region using power “equivalent to towns or small cities” had played a key role in maxing out the local grid. </w:t>
      </w:r>
    </w:p>
    <w:p w14:paraId="1958B105" w14:textId="77777777" w:rsidR="00A028D8" w:rsidRDefault="00A028D8" w:rsidP="00A028D8">
      <w:pPr>
        <w:pBdr>
          <w:top w:val="nil"/>
          <w:left w:val="nil"/>
          <w:bottom w:val="nil"/>
          <w:right w:val="nil"/>
          <w:between w:val="nil"/>
        </w:pBdr>
        <w:spacing w:line="360" w:lineRule="auto"/>
        <w:ind w:left="720"/>
        <w:jc w:val="both"/>
      </w:pPr>
    </w:p>
    <w:p w14:paraId="7A8BBDF7" w14:textId="70325DD4" w:rsidR="00A028D8" w:rsidRDefault="00A028D8" w:rsidP="00A028D8">
      <w:pPr>
        <w:numPr>
          <w:ilvl w:val="0"/>
          <w:numId w:val="3"/>
        </w:numPr>
        <w:pBdr>
          <w:top w:val="nil"/>
          <w:left w:val="nil"/>
          <w:bottom w:val="nil"/>
          <w:right w:val="nil"/>
          <w:between w:val="nil"/>
        </w:pBdr>
        <w:spacing w:line="360" w:lineRule="auto"/>
        <w:jc w:val="both"/>
      </w:pPr>
      <w:r>
        <w:t xml:space="preserve">So, the power needs of data centres are already crowding out young families looking for somewhere to live. Young families in South Bucks should not be left homeless or </w:t>
      </w:r>
      <w:r w:rsidR="000D3254">
        <w:t xml:space="preserve">without </w:t>
      </w:r>
      <w:r>
        <w:t xml:space="preserve">power for the sake of us being able to enjoy a few more funny cat videos. </w:t>
      </w:r>
    </w:p>
    <w:p w14:paraId="5E03B2ED" w14:textId="77777777" w:rsidR="00A028D8" w:rsidRDefault="00A028D8" w:rsidP="00A028D8">
      <w:pPr>
        <w:spacing w:line="360" w:lineRule="auto"/>
        <w:jc w:val="both"/>
      </w:pPr>
    </w:p>
    <w:p w14:paraId="4EF41439" w14:textId="77777777" w:rsidR="00A028D8" w:rsidRDefault="00A028D8" w:rsidP="00A028D8">
      <w:pPr>
        <w:numPr>
          <w:ilvl w:val="0"/>
          <w:numId w:val="3"/>
        </w:numPr>
        <w:pBdr>
          <w:top w:val="nil"/>
          <w:left w:val="nil"/>
          <w:bottom w:val="nil"/>
          <w:right w:val="nil"/>
          <w:between w:val="nil"/>
        </w:pBdr>
        <w:spacing w:line="360" w:lineRule="auto"/>
        <w:jc w:val="both"/>
      </w:pPr>
      <w:r>
        <w:rPr>
          <w:color w:val="000000"/>
        </w:rPr>
        <w:t>Data centres do not only require huge energy inputs to operate</w:t>
      </w:r>
      <w:r>
        <w:t xml:space="preserve">, </w:t>
      </w:r>
      <w:proofErr w:type="gramStart"/>
      <w:r>
        <w:t>they</w:t>
      </w:r>
      <w:proofErr w:type="gramEnd"/>
      <w:r>
        <w:t xml:space="preserve"> also require vast amounts of water - needed to prevent overheating. </w:t>
      </w:r>
      <w:r>
        <w:rPr>
          <w:color w:val="000000"/>
        </w:rPr>
        <w:t>Thames Water</w:t>
      </w:r>
      <w:r>
        <w:t xml:space="preserve"> </w:t>
      </w:r>
      <w:r>
        <w:rPr>
          <w:color w:val="000000"/>
        </w:rPr>
        <w:t>recently estimate</w:t>
      </w:r>
      <w:r>
        <w:t>d each data centre requires a supply of between 4</w:t>
      </w:r>
      <w:r>
        <w:rPr>
          <w:color w:val="000000"/>
        </w:rPr>
        <w:t>-19 million litres of water per day.</w:t>
      </w:r>
      <w:r w:rsidRPr="000D3254">
        <w:rPr>
          <w:rFonts w:ascii="Aptos" w:eastAsia="Aptos" w:hAnsi="Aptos" w:cs="Aptos"/>
          <w:color w:val="000000"/>
          <w:vertAlign w:val="superscript"/>
        </w:rPr>
        <w:t xml:space="preserve"> </w:t>
      </w:r>
      <w:r w:rsidRPr="000D3254">
        <w:rPr>
          <w:rFonts w:ascii="Aptos" w:eastAsia="Aptos" w:hAnsi="Aptos" w:cs="Aptos"/>
          <w:color w:val="000000"/>
          <w:vertAlign w:val="superscript"/>
        </w:rPr>
        <w:footnoteReference w:id="6"/>
      </w:r>
      <w:r>
        <w:rPr>
          <w:color w:val="000000"/>
        </w:rPr>
        <w:t xml:space="preserve"> </w:t>
      </w:r>
    </w:p>
    <w:p w14:paraId="04B8BEA7" w14:textId="77777777" w:rsidR="00A028D8" w:rsidRDefault="00A028D8" w:rsidP="00A028D8">
      <w:pPr>
        <w:pBdr>
          <w:top w:val="nil"/>
          <w:left w:val="nil"/>
          <w:bottom w:val="nil"/>
          <w:right w:val="nil"/>
          <w:between w:val="nil"/>
        </w:pBdr>
        <w:spacing w:line="360" w:lineRule="auto"/>
        <w:ind w:left="720"/>
        <w:jc w:val="both"/>
      </w:pPr>
    </w:p>
    <w:p w14:paraId="3E76CE61" w14:textId="77777777" w:rsidR="00A028D8" w:rsidRDefault="00A028D8" w:rsidP="00A028D8">
      <w:pPr>
        <w:numPr>
          <w:ilvl w:val="0"/>
          <w:numId w:val="3"/>
        </w:numPr>
        <w:pBdr>
          <w:top w:val="nil"/>
          <w:left w:val="nil"/>
          <w:bottom w:val="nil"/>
          <w:right w:val="nil"/>
          <w:between w:val="nil"/>
        </w:pBdr>
        <w:spacing w:line="360" w:lineRule="auto"/>
        <w:jc w:val="both"/>
      </w:pPr>
      <w:r>
        <w:rPr>
          <w:color w:val="000000"/>
        </w:rPr>
        <w:lastRenderedPageBreak/>
        <w:t xml:space="preserve">Water is a finite resource which </w:t>
      </w:r>
      <w:proofErr w:type="gramStart"/>
      <w:r>
        <w:t>has to</w:t>
      </w:r>
      <w:proofErr w:type="gramEnd"/>
      <w:r>
        <w:t xml:space="preserve"> be carefully</w:t>
      </w:r>
      <w:r>
        <w:rPr>
          <w:color w:val="000000"/>
        </w:rPr>
        <w:t xml:space="preserve"> managed. Indeed, the government’s Water Resources Management Plans for England</w:t>
      </w:r>
      <w:r>
        <w:t xml:space="preserve"> already </w:t>
      </w:r>
      <w:r>
        <w:rPr>
          <w:color w:val="000000"/>
        </w:rPr>
        <w:t>forecasts a shortfall of 5 billion litres of water per day by 2</w:t>
      </w:r>
      <w:r>
        <w:t>050, due to data centre demands.</w:t>
      </w:r>
      <w:r>
        <w:rPr>
          <w:color w:val="000000"/>
          <w:vertAlign w:val="superscript"/>
        </w:rPr>
        <w:footnoteReference w:id="7"/>
      </w:r>
      <w:r>
        <w:t xml:space="preserve"> </w:t>
      </w:r>
    </w:p>
    <w:p w14:paraId="6ED8448A" w14:textId="77777777" w:rsidR="00A028D8" w:rsidRDefault="00A028D8" w:rsidP="00A028D8">
      <w:pPr>
        <w:pBdr>
          <w:top w:val="nil"/>
          <w:left w:val="nil"/>
          <w:bottom w:val="nil"/>
          <w:right w:val="nil"/>
          <w:between w:val="nil"/>
        </w:pBdr>
        <w:spacing w:line="360" w:lineRule="auto"/>
        <w:ind w:left="720"/>
        <w:jc w:val="both"/>
      </w:pPr>
    </w:p>
    <w:p w14:paraId="79CA5226" w14:textId="77777777" w:rsidR="00A028D8" w:rsidRDefault="00A028D8" w:rsidP="00A028D8">
      <w:pPr>
        <w:numPr>
          <w:ilvl w:val="0"/>
          <w:numId w:val="3"/>
        </w:numPr>
        <w:pBdr>
          <w:top w:val="nil"/>
          <w:left w:val="nil"/>
          <w:bottom w:val="nil"/>
          <w:right w:val="nil"/>
          <w:between w:val="nil"/>
        </w:pBdr>
        <w:spacing w:line="360" w:lineRule="auto"/>
        <w:jc w:val="both"/>
      </w:pPr>
      <w:r>
        <w:t xml:space="preserve">As of today, Thames Water does not know how much of its water is consumed by the data centres it currently supplies. If the biggest water company in the country doesn’t know how much water the data centres in its supply network use, then, frankly, it is difficult to see how the LPA could realistically know either. </w:t>
      </w:r>
    </w:p>
    <w:p w14:paraId="61BE6AEC" w14:textId="77777777" w:rsidR="00A028D8" w:rsidRDefault="00A028D8" w:rsidP="00A028D8">
      <w:pPr>
        <w:pBdr>
          <w:top w:val="nil"/>
          <w:left w:val="nil"/>
          <w:bottom w:val="nil"/>
          <w:right w:val="nil"/>
          <w:between w:val="nil"/>
        </w:pBdr>
        <w:spacing w:line="360" w:lineRule="auto"/>
        <w:ind w:left="720"/>
        <w:jc w:val="both"/>
      </w:pPr>
    </w:p>
    <w:p w14:paraId="6118C7F5" w14:textId="77777777" w:rsidR="00A028D8" w:rsidRDefault="00A028D8" w:rsidP="00A028D8">
      <w:pPr>
        <w:numPr>
          <w:ilvl w:val="0"/>
          <w:numId w:val="3"/>
        </w:numPr>
        <w:pBdr>
          <w:top w:val="nil"/>
          <w:left w:val="nil"/>
          <w:bottom w:val="nil"/>
          <w:right w:val="nil"/>
          <w:between w:val="nil"/>
        </w:pBdr>
        <w:spacing w:line="360" w:lineRule="auto"/>
        <w:jc w:val="both"/>
      </w:pPr>
      <w:r>
        <w:t xml:space="preserve">Indeed, it makes it difficult to see how any water company in the UK can confidently say </w:t>
      </w:r>
      <w:proofErr w:type="gramStart"/>
      <w:r>
        <w:t>whether or not</w:t>
      </w:r>
      <w:proofErr w:type="gramEnd"/>
      <w:r>
        <w:t xml:space="preserve"> they will be able to cope with data centre demand. That is a </w:t>
      </w:r>
      <w:r>
        <w:rPr>
          <w:b/>
        </w:rPr>
        <w:t>critical</w:t>
      </w:r>
      <w:r>
        <w:t xml:space="preserve"> knowledge gap that must be filled before projects like the Proposed Development can be approved.</w:t>
      </w:r>
    </w:p>
    <w:p w14:paraId="0EBBF53F" w14:textId="77777777" w:rsidR="00A028D8" w:rsidRDefault="00A028D8" w:rsidP="00A028D8">
      <w:pPr>
        <w:pBdr>
          <w:top w:val="nil"/>
          <w:left w:val="nil"/>
          <w:bottom w:val="nil"/>
          <w:right w:val="nil"/>
          <w:between w:val="nil"/>
        </w:pBdr>
        <w:spacing w:line="360" w:lineRule="auto"/>
        <w:ind w:left="720"/>
        <w:jc w:val="both"/>
        <w:rPr>
          <w:color w:val="000000"/>
        </w:rPr>
      </w:pPr>
    </w:p>
    <w:p w14:paraId="5BBC334C" w14:textId="77777777" w:rsidR="00A028D8" w:rsidRDefault="00A028D8" w:rsidP="00A028D8">
      <w:pPr>
        <w:numPr>
          <w:ilvl w:val="0"/>
          <w:numId w:val="3"/>
        </w:numPr>
        <w:pBdr>
          <w:top w:val="nil"/>
          <w:left w:val="nil"/>
          <w:bottom w:val="nil"/>
          <w:right w:val="nil"/>
          <w:between w:val="nil"/>
        </w:pBdr>
        <w:spacing w:line="360" w:lineRule="auto"/>
        <w:jc w:val="both"/>
      </w:pPr>
      <w:r>
        <w:t>Despite that</w:t>
      </w:r>
      <w:r>
        <w:rPr>
          <w:color w:val="000000"/>
        </w:rPr>
        <w:t xml:space="preserve">, the LPA’s Officer </w:t>
      </w:r>
      <w:proofErr w:type="gramStart"/>
      <w:r>
        <w:rPr>
          <w:color w:val="000000"/>
        </w:rPr>
        <w:t>states</w:t>
      </w:r>
      <w:proofErr w:type="gramEnd"/>
      <w:r>
        <w:rPr>
          <w:color w:val="000000"/>
        </w:rPr>
        <w:t xml:space="preserve"> “the proposed development would not result in significant use of natural resources in</w:t>
      </w:r>
      <w:sdt>
        <w:sdtPr>
          <w:tag w:val="goog_rdk_0"/>
          <w:id w:val="1263187040"/>
        </w:sdtPr>
        <w:sdtContent/>
      </w:sdt>
      <w:r>
        <w:rPr>
          <w:color w:val="000000"/>
        </w:rPr>
        <w:t>… its operation.”</w:t>
      </w:r>
      <w:r>
        <w:rPr>
          <w:color w:val="000000"/>
          <w:vertAlign w:val="superscript"/>
        </w:rPr>
        <w:footnoteReference w:id="8"/>
      </w:r>
      <w:r>
        <w:rPr>
          <w:vertAlign w:val="superscript"/>
        </w:rPr>
        <w:t xml:space="preserve"> </w:t>
      </w:r>
      <w:r>
        <w:t xml:space="preserve">But for the reasons explained, that is clearly not a statement upon which you can attach any weight. </w:t>
      </w:r>
    </w:p>
    <w:p w14:paraId="5E08DA67" w14:textId="77777777" w:rsidR="00A028D8" w:rsidRDefault="00A028D8" w:rsidP="00A028D8">
      <w:pPr>
        <w:pBdr>
          <w:top w:val="nil"/>
          <w:left w:val="nil"/>
          <w:bottom w:val="nil"/>
          <w:right w:val="nil"/>
          <w:between w:val="nil"/>
        </w:pBdr>
        <w:spacing w:line="360" w:lineRule="auto"/>
        <w:ind w:left="720"/>
        <w:jc w:val="both"/>
        <w:rPr>
          <w:color w:val="000000"/>
        </w:rPr>
      </w:pPr>
    </w:p>
    <w:p w14:paraId="14AF7B8F" w14:textId="77777777" w:rsidR="00A028D8" w:rsidRDefault="00A028D8" w:rsidP="00A028D8">
      <w:pPr>
        <w:numPr>
          <w:ilvl w:val="0"/>
          <w:numId w:val="3"/>
        </w:numPr>
        <w:pBdr>
          <w:top w:val="nil"/>
          <w:left w:val="nil"/>
          <w:bottom w:val="nil"/>
          <w:right w:val="nil"/>
          <w:between w:val="nil"/>
        </w:pBdr>
        <w:spacing w:line="360" w:lineRule="auto"/>
        <w:jc w:val="both"/>
      </w:pPr>
      <w:r>
        <w:rPr>
          <w:color w:val="000000"/>
        </w:rPr>
        <w:t>We understand that Affinity Water supplies the appeal site and that it was consulted both on this application and that submitted in 2021. Unfortunately, neither consultation response is publicly available</w:t>
      </w:r>
      <w:r>
        <w:t xml:space="preserve"> - surprising, given that w</w:t>
      </w:r>
      <w:r>
        <w:rPr>
          <w:color w:val="000000"/>
        </w:rPr>
        <w:t>hen conducting an EIA screening opinion, an LPA must provide sufficient information to enable anyone interested in the decision to see that proper consideration had been given to the possible environmental effects of the development and understand the reasons for the decision.</w:t>
      </w:r>
      <w:r>
        <w:rPr>
          <w:color w:val="000000"/>
          <w:vertAlign w:val="superscript"/>
        </w:rPr>
        <w:footnoteReference w:id="9"/>
      </w:r>
      <w:r>
        <w:rPr>
          <w:color w:val="000000"/>
        </w:rPr>
        <w:t xml:space="preserve"> </w:t>
      </w:r>
    </w:p>
    <w:p w14:paraId="2B23E422" w14:textId="77777777" w:rsidR="00A028D8" w:rsidRDefault="00A028D8" w:rsidP="00A028D8">
      <w:pPr>
        <w:pBdr>
          <w:top w:val="nil"/>
          <w:left w:val="nil"/>
          <w:bottom w:val="nil"/>
          <w:right w:val="nil"/>
          <w:between w:val="nil"/>
        </w:pBdr>
        <w:spacing w:line="360" w:lineRule="auto"/>
        <w:ind w:left="720"/>
        <w:jc w:val="both"/>
        <w:rPr>
          <w:color w:val="000000"/>
        </w:rPr>
      </w:pPr>
    </w:p>
    <w:p w14:paraId="1AF3B542" w14:textId="77777777" w:rsidR="00A028D8" w:rsidRDefault="00A028D8" w:rsidP="00A028D8">
      <w:pPr>
        <w:numPr>
          <w:ilvl w:val="0"/>
          <w:numId w:val="3"/>
        </w:numPr>
        <w:pBdr>
          <w:top w:val="nil"/>
          <w:left w:val="nil"/>
          <w:bottom w:val="nil"/>
          <w:right w:val="nil"/>
          <w:between w:val="nil"/>
        </w:pBdr>
        <w:spacing w:line="360" w:lineRule="auto"/>
        <w:jc w:val="both"/>
      </w:pPr>
      <w:r>
        <w:t xml:space="preserve">As things stand, </w:t>
      </w:r>
      <w:r>
        <w:rPr>
          <w:color w:val="000000"/>
        </w:rPr>
        <w:t xml:space="preserve">the LPA, this inquiry and the public cannot be certain of the environmental impacts of this scheme should this appeal be allowed. </w:t>
      </w:r>
      <w:sdt>
        <w:sdtPr>
          <w:tag w:val="goog_rdk_1"/>
          <w:id w:val="1219016280"/>
        </w:sdtPr>
        <w:sdtContent>
          <w:r>
            <w:rPr>
              <w:color w:val="000000"/>
            </w:rPr>
            <w:t xml:space="preserve">That is reason enough for the Proposed Scheme to be </w:t>
          </w:r>
        </w:sdtContent>
      </w:sdt>
      <w:r>
        <w:t>stopped.</w:t>
      </w:r>
    </w:p>
    <w:p w14:paraId="127D74B4" w14:textId="77777777" w:rsidR="00A028D8" w:rsidRDefault="00A028D8" w:rsidP="00A028D8">
      <w:pPr>
        <w:pBdr>
          <w:top w:val="nil"/>
          <w:left w:val="nil"/>
          <w:bottom w:val="nil"/>
          <w:right w:val="nil"/>
          <w:between w:val="nil"/>
        </w:pBdr>
        <w:spacing w:line="360" w:lineRule="auto"/>
        <w:ind w:left="720"/>
        <w:jc w:val="both"/>
        <w:rPr>
          <w:color w:val="000000"/>
        </w:rPr>
      </w:pPr>
    </w:p>
    <w:p w14:paraId="71F2DB0E" w14:textId="77777777" w:rsidR="00A028D8" w:rsidRDefault="00A028D8" w:rsidP="00A028D8">
      <w:pPr>
        <w:numPr>
          <w:ilvl w:val="0"/>
          <w:numId w:val="3"/>
        </w:numPr>
        <w:pBdr>
          <w:top w:val="nil"/>
          <w:left w:val="nil"/>
          <w:bottom w:val="nil"/>
          <w:right w:val="nil"/>
          <w:between w:val="nil"/>
        </w:pBdr>
        <w:spacing w:line="360" w:lineRule="auto"/>
        <w:jc w:val="both"/>
      </w:pPr>
      <w:r>
        <w:rPr>
          <w:color w:val="000000"/>
        </w:rPr>
        <w:t xml:space="preserve">I wish next to address the lack of detail associated with the Proposed Scheme’s energy and sustainability </w:t>
      </w:r>
      <w:proofErr w:type="gramStart"/>
      <w:r>
        <w:rPr>
          <w:color w:val="000000"/>
        </w:rPr>
        <w:t>proposals, and</w:t>
      </w:r>
      <w:proofErr w:type="gramEnd"/>
      <w:r>
        <w:rPr>
          <w:color w:val="000000"/>
        </w:rPr>
        <w:t xml:space="preserve"> consider the impact on the balancing exercise which the Inspector must undertake. </w:t>
      </w:r>
    </w:p>
    <w:p w14:paraId="0CCA94BC" w14:textId="77777777" w:rsidR="00A028D8" w:rsidRDefault="00A028D8" w:rsidP="00A028D8">
      <w:pPr>
        <w:pBdr>
          <w:top w:val="nil"/>
          <w:left w:val="nil"/>
          <w:bottom w:val="nil"/>
          <w:right w:val="nil"/>
          <w:between w:val="nil"/>
        </w:pBdr>
        <w:spacing w:line="360" w:lineRule="auto"/>
        <w:ind w:left="720"/>
        <w:jc w:val="both"/>
      </w:pPr>
    </w:p>
    <w:p w14:paraId="52B8B24F" w14:textId="77777777" w:rsidR="00A028D8" w:rsidRDefault="00A028D8" w:rsidP="00A028D8">
      <w:pPr>
        <w:numPr>
          <w:ilvl w:val="0"/>
          <w:numId w:val="3"/>
        </w:numPr>
        <w:pBdr>
          <w:top w:val="nil"/>
          <w:left w:val="nil"/>
          <w:bottom w:val="nil"/>
          <w:right w:val="nil"/>
          <w:between w:val="nil"/>
        </w:pBdr>
        <w:spacing w:line="360" w:lineRule="auto"/>
        <w:jc w:val="both"/>
      </w:pPr>
      <w:r>
        <w:rPr>
          <w:color w:val="000000"/>
        </w:rPr>
        <w:t>We understand the Appellant relies on very special circumstances (VSC) to overcome the LPA’s objections to the development in the Green Belt. Amongst these VSCs are the Scheme’s proposals for addressing climate change, which the Appellant considers ought to weigh heavily in favour of the application.</w:t>
      </w:r>
      <w:r>
        <w:rPr>
          <w:color w:val="000000"/>
          <w:vertAlign w:val="superscript"/>
        </w:rPr>
        <w:footnoteReference w:id="10"/>
      </w:r>
      <w:r>
        <w:rPr>
          <w:color w:val="000000"/>
        </w:rPr>
        <w:t xml:space="preserve"> </w:t>
      </w:r>
      <w:sdt>
        <w:sdtPr>
          <w:tag w:val="goog_rdk_2"/>
          <w:id w:val="499473021"/>
        </w:sdtPr>
        <w:sdtContent/>
      </w:sdt>
      <w:sdt>
        <w:sdtPr>
          <w:tag w:val="goog_rdk_3"/>
          <w:id w:val="-833682188"/>
        </w:sdtPr>
        <w:sdtContent/>
      </w:sdt>
      <w:sdt>
        <w:sdtPr>
          <w:tag w:val="goog_rdk_4"/>
          <w:id w:val="1586950867"/>
        </w:sdtPr>
        <w:sdtContent/>
      </w:sdt>
      <w:r>
        <w:rPr>
          <w:color w:val="000000"/>
        </w:rPr>
        <w:t>W</w:t>
      </w:r>
      <w:sdt>
        <w:sdtPr>
          <w:tag w:val="goog_rdk_6"/>
          <w:id w:val="-623853954"/>
        </w:sdtPr>
        <w:sdtContent>
          <w:r>
            <w:rPr>
              <w:color w:val="000000"/>
            </w:rPr>
            <w:t>e wish to</w:t>
          </w:r>
        </w:sdtContent>
      </w:sdt>
      <w:r>
        <w:rPr>
          <w:color w:val="000000"/>
        </w:rPr>
        <w:t xml:space="preserve"> raise the following:</w:t>
      </w:r>
    </w:p>
    <w:p w14:paraId="129D5B84" w14:textId="77777777" w:rsidR="00A028D8" w:rsidRDefault="00A028D8" w:rsidP="00A028D8">
      <w:pPr>
        <w:pBdr>
          <w:top w:val="nil"/>
          <w:left w:val="nil"/>
          <w:bottom w:val="nil"/>
          <w:right w:val="nil"/>
          <w:between w:val="nil"/>
        </w:pBdr>
        <w:spacing w:line="360" w:lineRule="auto"/>
        <w:ind w:left="720"/>
        <w:jc w:val="both"/>
        <w:rPr>
          <w:color w:val="000000"/>
        </w:rPr>
      </w:pPr>
    </w:p>
    <w:p w14:paraId="39CC9020" w14:textId="77777777" w:rsidR="00A028D8" w:rsidRDefault="00A028D8" w:rsidP="00A028D8">
      <w:pPr>
        <w:numPr>
          <w:ilvl w:val="0"/>
          <w:numId w:val="3"/>
        </w:numPr>
        <w:pBdr>
          <w:top w:val="nil"/>
          <w:left w:val="nil"/>
          <w:bottom w:val="nil"/>
          <w:right w:val="nil"/>
          <w:between w:val="nil"/>
        </w:pBdr>
        <w:spacing w:line="360" w:lineRule="auto"/>
        <w:jc w:val="both"/>
      </w:pPr>
      <w:r>
        <w:rPr>
          <w:color w:val="000000"/>
        </w:rPr>
        <w:t>The Proposed Scheme’s energy strategy proposes a suite of measures at §1.4:</w:t>
      </w:r>
      <w:r>
        <w:rPr>
          <w:color w:val="000000"/>
          <w:vertAlign w:val="superscript"/>
        </w:rPr>
        <w:footnoteReference w:id="11"/>
      </w:r>
    </w:p>
    <w:p w14:paraId="77C1E5CD" w14:textId="77777777" w:rsidR="00A028D8" w:rsidRDefault="00A028D8" w:rsidP="00A028D8">
      <w:pPr>
        <w:pBdr>
          <w:top w:val="nil"/>
          <w:left w:val="nil"/>
          <w:bottom w:val="nil"/>
          <w:right w:val="nil"/>
          <w:between w:val="nil"/>
        </w:pBdr>
        <w:spacing w:line="360" w:lineRule="auto"/>
        <w:ind w:left="720"/>
        <w:jc w:val="both"/>
        <w:rPr>
          <w:color w:val="000000"/>
        </w:rPr>
      </w:pPr>
    </w:p>
    <w:p w14:paraId="6499E2EE" w14:textId="77777777" w:rsidR="00A028D8" w:rsidRDefault="00A028D8" w:rsidP="00A028D8">
      <w:pPr>
        <w:numPr>
          <w:ilvl w:val="1"/>
          <w:numId w:val="2"/>
        </w:numPr>
        <w:pBdr>
          <w:top w:val="nil"/>
          <w:left w:val="nil"/>
          <w:bottom w:val="nil"/>
          <w:right w:val="nil"/>
          <w:between w:val="nil"/>
        </w:pBdr>
        <w:spacing w:line="360" w:lineRule="auto"/>
        <w:jc w:val="both"/>
        <w:rPr>
          <w:i/>
          <w:color w:val="000000"/>
        </w:rPr>
      </w:pPr>
      <w:r>
        <w:rPr>
          <w:i/>
          <w:color w:val="000000"/>
        </w:rPr>
        <w:t xml:space="preserve">Maximised use of waste heat within the development with space heating and water heating incorporating waste rejected from the cooling systems. </w:t>
      </w:r>
    </w:p>
    <w:p w14:paraId="7EA3AF3B" w14:textId="77777777" w:rsidR="00A028D8" w:rsidRDefault="00A028D8" w:rsidP="00A028D8">
      <w:pPr>
        <w:numPr>
          <w:ilvl w:val="1"/>
          <w:numId w:val="2"/>
        </w:numPr>
        <w:pBdr>
          <w:top w:val="nil"/>
          <w:left w:val="nil"/>
          <w:bottom w:val="nil"/>
          <w:right w:val="nil"/>
          <w:between w:val="nil"/>
        </w:pBdr>
        <w:spacing w:line="360" w:lineRule="auto"/>
        <w:jc w:val="both"/>
        <w:rPr>
          <w:i/>
          <w:color w:val="000000"/>
        </w:rPr>
      </w:pPr>
      <w:r>
        <w:rPr>
          <w:i/>
          <w:color w:val="000000"/>
        </w:rPr>
        <w:t xml:space="preserve">An extent of PV at roof level. </w:t>
      </w:r>
    </w:p>
    <w:p w14:paraId="6886646A" w14:textId="77777777" w:rsidR="00A028D8" w:rsidRDefault="00A028D8" w:rsidP="00A028D8">
      <w:pPr>
        <w:numPr>
          <w:ilvl w:val="1"/>
          <w:numId w:val="2"/>
        </w:numPr>
        <w:pBdr>
          <w:top w:val="nil"/>
          <w:left w:val="nil"/>
          <w:bottom w:val="nil"/>
          <w:right w:val="nil"/>
          <w:between w:val="nil"/>
        </w:pBdr>
        <w:spacing w:line="360" w:lineRule="auto"/>
        <w:jc w:val="both"/>
        <w:rPr>
          <w:i/>
          <w:color w:val="000000"/>
        </w:rPr>
      </w:pPr>
      <w:r>
        <w:rPr>
          <w:i/>
          <w:color w:val="000000"/>
        </w:rPr>
        <w:t xml:space="preserve">The use of Air Source Heat Pumps (ASHPs) to provide space heating in parts of the building where the waste heat option is not suitable </w:t>
      </w:r>
    </w:p>
    <w:p w14:paraId="06C72BA0" w14:textId="77777777" w:rsidR="00A028D8" w:rsidRDefault="00A028D8" w:rsidP="00A028D8">
      <w:pPr>
        <w:numPr>
          <w:ilvl w:val="1"/>
          <w:numId w:val="2"/>
        </w:numPr>
        <w:pBdr>
          <w:top w:val="nil"/>
          <w:left w:val="nil"/>
          <w:bottom w:val="nil"/>
          <w:right w:val="nil"/>
          <w:between w:val="nil"/>
        </w:pBdr>
        <w:spacing w:line="360" w:lineRule="auto"/>
        <w:jc w:val="both"/>
        <w:rPr>
          <w:i/>
          <w:color w:val="000000"/>
        </w:rPr>
      </w:pPr>
      <w:r>
        <w:rPr>
          <w:i/>
          <w:color w:val="000000"/>
        </w:rPr>
        <w:t xml:space="preserve">Sufficient quantum of the above technologies to ensure that the contribution from renewables can exceed up to 100% of the regulated demand associated with the administrative function of the buildings. </w:t>
      </w:r>
    </w:p>
    <w:p w14:paraId="21E148EE" w14:textId="77777777" w:rsidR="00A028D8" w:rsidRDefault="00A028D8" w:rsidP="00A028D8">
      <w:pPr>
        <w:numPr>
          <w:ilvl w:val="1"/>
          <w:numId w:val="2"/>
        </w:numPr>
        <w:pBdr>
          <w:top w:val="nil"/>
          <w:left w:val="nil"/>
          <w:bottom w:val="nil"/>
          <w:right w:val="nil"/>
          <w:between w:val="nil"/>
        </w:pBdr>
        <w:spacing w:line="360" w:lineRule="auto"/>
        <w:jc w:val="both"/>
        <w:rPr>
          <w:i/>
          <w:color w:val="000000"/>
        </w:rPr>
      </w:pPr>
      <w:r>
        <w:rPr>
          <w:i/>
          <w:color w:val="000000"/>
        </w:rPr>
        <w:t xml:space="preserve">Adoption of the principles of the Climate Neutral Data Centre Pact to ensure that electricity demand will be matched by 75% renewable energy or hourly carbon-free energy by December 31, </w:t>
      </w:r>
      <w:proofErr w:type="gramStart"/>
      <w:r>
        <w:rPr>
          <w:i/>
          <w:color w:val="000000"/>
        </w:rPr>
        <w:t>2025</w:t>
      </w:r>
      <w:proofErr w:type="gramEnd"/>
      <w:r>
        <w:rPr>
          <w:i/>
          <w:color w:val="000000"/>
        </w:rPr>
        <w:t xml:space="preserve"> and 100% by December 31, 2030. </w:t>
      </w:r>
    </w:p>
    <w:p w14:paraId="5AB7A7F4" w14:textId="77777777" w:rsidR="00A028D8" w:rsidRDefault="00A028D8" w:rsidP="00A028D8">
      <w:pPr>
        <w:spacing w:line="360" w:lineRule="auto"/>
        <w:ind w:left="1080"/>
        <w:jc w:val="both"/>
        <w:rPr>
          <w:i/>
        </w:rPr>
      </w:pPr>
    </w:p>
    <w:p w14:paraId="52B31F25" w14:textId="77777777" w:rsidR="00A028D8" w:rsidRDefault="00A028D8" w:rsidP="00A028D8">
      <w:pPr>
        <w:numPr>
          <w:ilvl w:val="1"/>
          <w:numId w:val="1"/>
        </w:numPr>
        <w:pBdr>
          <w:top w:val="nil"/>
          <w:left w:val="nil"/>
          <w:bottom w:val="nil"/>
          <w:right w:val="nil"/>
          <w:between w:val="nil"/>
        </w:pBdr>
        <w:spacing w:line="360" w:lineRule="auto"/>
        <w:jc w:val="both"/>
        <w:rPr>
          <w:i/>
          <w:color w:val="000000"/>
        </w:rPr>
      </w:pPr>
      <w:r>
        <w:rPr>
          <w:i/>
          <w:color w:val="000000"/>
        </w:rPr>
        <w:t>The development will therefore satisfy the Council target for &gt;10% of energy to be sourced from decentralised and renewable or low carbon sources.</w:t>
      </w:r>
    </w:p>
    <w:p w14:paraId="3CBEB0AC" w14:textId="77777777" w:rsidR="00A028D8" w:rsidRDefault="00A028D8" w:rsidP="00A028D8">
      <w:pPr>
        <w:spacing w:line="360" w:lineRule="auto"/>
        <w:jc w:val="both"/>
        <w:rPr>
          <w:i/>
        </w:rPr>
      </w:pPr>
    </w:p>
    <w:p w14:paraId="7A8C9557" w14:textId="77777777" w:rsidR="00A028D8" w:rsidRDefault="00A028D8" w:rsidP="00A028D8">
      <w:pPr>
        <w:numPr>
          <w:ilvl w:val="0"/>
          <w:numId w:val="3"/>
        </w:numPr>
        <w:pBdr>
          <w:top w:val="nil"/>
          <w:left w:val="nil"/>
          <w:bottom w:val="nil"/>
          <w:right w:val="nil"/>
          <w:between w:val="nil"/>
        </w:pBdr>
        <w:spacing w:line="360" w:lineRule="auto"/>
        <w:jc w:val="both"/>
      </w:pPr>
      <w:r>
        <w:rPr>
          <w:color w:val="000000"/>
        </w:rPr>
        <w:lastRenderedPageBreak/>
        <w:t xml:space="preserve">While the list of supposed benefits is, at first </w:t>
      </w:r>
      <w:r>
        <w:t>glance</w:t>
      </w:r>
      <w:r>
        <w:rPr>
          <w:color w:val="000000"/>
        </w:rPr>
        <w:t xml:space="preserve">, impressive, we note that it includes no </w:t>
      </w:r>
      <w:r>
        <w:t xml:space="preserve">concrete </w:t>
      </w:r>
      <w:r>
        <w:rPr>
          <w:color w:val="000000"/>
        </w:rPr>
        <w:t>obligations – and accountability measures whats</w:t>
      </w:r>
      <w:r>
        <w:t>oever</w:t>
      </w:r>
      <w:r>
        <w:rPr>
          <w:color w:val="000000"/>
        </w:rPr>
        <w:t xml:space="preserve"> – which might bind either the Appellant or any later operators. </w:t>
      </w:r>
      <w:r>
        <w:t>T</w:t>
      </w:r>
      <w:r>
        <w:rPr>
          <w:color w:val="000000"/>
        </w:rPr>
        <w:t xml:space="preserve">he use of vague words such as “maximised”, “an extent” or </w:t>
      </w:r>
      <w:r>
        <w:t>incomprehensible jargon like</w:t>
      </w:r>
      <w:r>
        <w:rPr>
          <w:color w:val="000000"/>
        </w:rPr>
        <w:t xml:space="preserve"> “sufficient quantum”, provide no substantive commitment to deliver a specified level of environmental benefit. </w:t>
      </w:r>
    </w:p>
    <w:p w14:paraId="7E4A2928" w14:textId="77777777" w:rsidR="00A028D8" w:rsidRDefault="00A028D8" w:rsidP="00A028D8">
      <w:pPr>
        <w:spacing w:line="360" w:lineRule="auto"/>
        <w:jc w:val="both"/>
      </w:pPr>
    </w:p>
    <w:p w14:paraId="7E19DBCA" w14:textId="77777777" w:rsidR="00A028D8" w:rsidRDefault="00A028D8" w:rsidP="00A028D8">
      <w:pPr>
        <w:numPr>
          <w:ilvl w:val="0"/>
          <w:numId w:val="3"/>
        </w:numPr>
        <w:pBdr>
          <w:top w:val="nil"/>
          <w:left w:val="nil"/>
          <w:bottom w:val="nil"/>
          <w:right w:val="nil"/>
          <w:between w:val="nil"/>
        </w:pBdr>
        <w:spacing w:line="360" w:lineRule="auto"/>
        <w:jc w:val="both"/>
      </w:pPr>
      <w:r>
        <w:rPr>
          <w:color w:val="000000"/>
        </w:rPr>
        <w:t>The vagueness continues: we note the fourth point commits the Appellant only to delivering enough renewable energy to meet 100% of the “regulated demand associated with the administrative function of the building.”</w:t>
      </w:r>
      <w:r>
        <w:rPr>
          <w:color w:val="000000"/>
          <w:vertAlign w:val="superscript"/>
        </w:rPr>
        <w:footnoteReference w:id="12"/>
      </w:r>
      <w:r>
        <w:rPr>
          <w:color w:val="000000"/>
        </w:rPr>
        <w:t xml:space="preserve"> We would welcome clarity from the Appellant as to what is included in the buildings’ “administrative” functions and whether that includes the essential operation and cooling of the servers themselves? </w:t>
      </w:r>
    </w:p>
    <w:p w14:paraId="4111C2C1" w14:textId="77777777" w:rsidR="00A028D8" w:rsidRDefault="00A028D8" w:rsidP="00A028D8">
      <w:pPr>
        <w:pBdr>
          <w:top w:val="nil"/>
          <w:left w:val="nil"/>
          <w:bottom w:val="nil"/>
          <w:right w:val="nil"/>
          <w:between w:val="nil"/>
        </w:pBdr>
        <w:spacing w:line="360" w:lineRule="auto"/>
        <w:ind w:left="720"/>
        <w:jc w:val="both"/>
      </w:pPr>
    </w:p>
    <w:p w14:paraId="61692F04" w14:textId="77777777" w:rsidR="00A028D8" w:rsidRDefault="00A028D8" w:rsidP="00A028D8">
      <w:pPr>
        <w:numPr>
          <w:ilvl w:val="0"/>
          <w:numId w:val="3"/>
        </w:numPr>
        <w:pBdr>
          <w:top w:val="nil"/>
          <w:left w:val="nil"/>
          <w:bottom w:val="nil"/>
          <w:right w:val="nil"/>
          <w:between w:val="nil"/>
        </w:pBdr>
        <w:spacing w:line="360" w:lineRule="auto"/>
        <w:jc w:val="both"/>
      </w:pPr>
      <w:r>
        <w:rPr>
          <w:color w:val="000000"/>
        </w:rPr>
        <w:t xml:space="preserve">Without further information we cannot </w:t>
      </w:r>
      <w:r>
        <w:t>know</w:t>
      </w:r>
      <w:r>
        <w:rPr>
          <w:color w:val="000000"/>
        </w:rPr>
        <w:t xml:space="preserve"> that the proposal will, in fact, satisfy the Council’s target for &gt;10% of energy to be sourced from decentralised and renewable or low carbon sources. The data </w:t>
      </w:r>
      <w:r>
        <w:t>is</w:t>
      </w:r>
      <w:r>
        <w:rPr>
          <w:color w:val="000000"/>
        </w:rPr>
        <w:t xml:space="preserve"> simply not available to be scrutinised. Given the </w:t>
      </w:r>
      <w:r>
        <w:t>significant</w:t>
      </w:r>
      <w:r>
        <w:rPr>
          <w:color w:val="000000"/>
        </w:rPr>
        <w:t xml:space="preserve"> </w:t>
      </w:r>
      <w:r>
        <w:t xml:space="preserve">potential power needs of the development, that’s unacceptable. </w:t>
      </w:r>
      <w:r>
        <w:rPr>
          <w:color w:val="000000"/>
        </w:rPr>
        <w:t xml:space="preserve"> </w:t>
      </w:r>
    </w:p>
    <w:p w14:paraId="1B3DA28B" w14:textId="77777777" w:rsidR="00A028D8" w:rsidRDefault="00A028D8" w:rsidP="00A028D8">
      <w:pPr>
        <w:pBdr>
          <w:top w:val="nil"/>
          <w:left w:val="nil"/>
          <w:bottom w:val="nil"/>
          <w:right w:val="nil"/>
          <w:between w:val="nil"/>
        </w:pBdr>
        <w:spacing w:line="360" w:lineRule="auto"/>
        <w:ind w:left="720"/>
        <w:jc w:val="both"/>
        <w:rPr>
          <w:color w:val="000000"/>
        </w:rPr>
      </w:pPr>
    </w:p>
    <w:p w14:paraId="26916C2A" w14:textId="77777777" w:rsidR="00A028D8" w:rsidRDefault="00A028D8" w:rsidP="00A028D8">
      <w:pPr>
        <w:numPr>
          <w:ilvl w:val="0"/>
          <w:numId w:val="3"/>
        </w:numPr>
        <w:pBdr>
          <w:top w:val="nil"/>
          <w:left w:val="nil"/>
          <w:bottom w:val="nil"/>
          <w:right w:val="nil"/>
          <w:between w:val="nil"/>
        </w:pBdr>
        <w:spacing w:line="360" w:lineRule="auto"/>
        <w:jc w:val="both"/>
      </w:pPr>
      <w:r>
        <w:rPr>
          <w:color w:val="000000"/>
        </w:rPr>
        <w:t>The Appellant states: “it is understood that the operator of the proposed data centre will commit to the Climate Neutral Data Centre Pact.”</w:t>
      </w:r>
      <w:r>
        <w:rPr>
          <w:color w:val="000000"/>
          <w:vertAlign w:val="superscript"/>
        </w:rPr>
        <w:footnoteReference w:id="13"/>
      </w:r>
      <w:r>
        <w:rPr>
          <w:color w:val="000000"/>
        </w:rPr>
        <w:t xml:space="preserve"> As this sentence makes clear, the Appellant is responsible only for developing the Proposed Scheme. While the developer may hope that future operators will participate in the Pact, critically, it cannot ensure that they will do </w:t>
      </w:r>
      <w:proofErr w:type="gramStart"/>
      <w:r>
        <w:rPr>
          <w:color w:val="000000"/>
        </w:rPr>
        <w:t>so</w:t>
      </w:r>
      <w:proofErr w:type="gramEnd"/>
      <w:r>
        <w:rPr>
          <w:color w:val="000000"/>
        </w:rPr>
        <w:t xml:space="preserve"> nor do they have any obligation to bind them to it as a condition of taking over the site. Should the Inspector allow this appeal, there is no guarantee that the building’s future operator will adhere to </w:t>
      </w:r>
      <w:r>
        <w:rPr>
          <w:i/>
          <w:color w:val="000000"/>
        </w:rPr>
        <w:t>any</w:t>
      </w:r>
      <w:r>
        <w:rPr>
          <w:color w:val="000000"/>
        </w:rPr>
        <w:t xml:space="preserve"> of the various energy commitments at all. Again, this is </w:t>
      </w:r>
      <w:proofErr w:type="gramStart"/>
      <w:r>
        <w:rPr>
          <w:color w:val="000000"/>
        </w:rPr>
        <w:t>u</w:t>
      </w:r>
      <w:r>
        <w:t>nacceptable</w:t>
      </w:r>
      <w:proofErr w:type="gramEnd"/>
      <w:r>
        <w:t xml:space="preserve"> and the Proposal should not be allowed to proceed on this basis. </w:t>
      </w:r>
    </w:p>
    <w:p w14:paraId="33EF4D8B" w14:textId="77777777" w:rsidR="00A028D8" w:rsidRDefault="00A028D8" w:rsidP="00A028D8">
      <w:pPr>
        <w:pBdr>
          <w:top w:val="nil"/>
          <w:left w:val="nil"/>
          <w:bottom w:val="nil"/>
          <w:right w:val="nil"/>
          <w:between w:val="nil"/>
        </w:pBdr>
        <w:ind w:left="720"/>
        <w:rPr>
          <w:color w:val="000000"/>
        </w:rPr>
      </w:pPr>
    </w:p>
    <w:p w14:paraId="7E7E8F81" w14:textId="77777777" w:rsidR="00A028D8" w:rsidRDefault="00A028D8" w:rsidP="00A028D8">
      <w:pPr>
        <w:numPr>
          <w:ilvl w:val="0"/>
          <w:numId w:val="3"/>
        </w:numPr>
        <w:pBdr>
          <w:top w:val="nil"/>
          <w:left w:val="nil"/>
          <w:bottom w:val="nil"/>
          <w:right w:val="nil"/>
          <w:between w:val="nil"/>
        </w:pBdr>
        <w:spacing w:line="360" w:lineRule="auto"/>
        <w:jc w:val="both"/>
      </w:pPr>
      <w:r>
        <w:rPr>
          <w:color w:val="000000"/>
        </w:rPr>
        <w:lastRenderedPageBreak/>
        <w:t xml:space="preserve">We also note the Sustainability Statement makes no actual commitment </w:t>
      </w:r>
      <w:proofErr w:type="gramStart"/>
      <w:r>
        <w:rPr>
          <w:color w:val="000000"/>
        </w:rPr>
        <w:t>with regard to</w:t>
      </w:r>
      <w:proofErr w:type="gramEnd"/>
      <w:r>
        <w:rPr>
          <w:color w:val="000000"/>
        </w:rPr>
        <w:t xml:space="preserve"> water usage, simply </w:t>
      </w:r>
      <w:r>
        <w:t xml:space="preserve">asserting: </w:t>
      </w:r>
      <w:r>
        <w:rPr>
          <w:i/>
          <w:color w:val="000000"/>
        </w:rPr>
        <w:t>“Data centres will conserve water and set ambitious water conservation targets.”</w:t>
      </w:r>
      <w:r>
        <w:rPr>
          <w:i/>
          <w:color w:val="000000"/>
          <w:vertAlign w:val="superscript"/>
        </w:rPr>
        <w:footnoteReference w:id="14"/>
      </w:r>
    </w:p>
    <w:p w14:paraId="5854490A" w14:textId="77777777" w:rsidR="00A028D8" w:rsidRDefault="00A028D8" w:rsidP="00A028D8">
      <w:pPr>
        <w:pBdr>
          <w:top w:val="nil"/>
          <w:left w:val="nil"/>
          <w:bottom w:val="nil"/>
          <w:right w:val="nil"/>
          <w:between w:val="nil"/>
        </w:pBdr>
        <w:ind w:left="720"/>
        <w:rPr>
          <w:color w:val="000000"/>
        </w:rPr>
      </w:pPr>
    </w:p>
    <w:p w14:paraId="3482E42B" w14:textId="77777777" w:rsidR="00A028D8" w:rsidRDefault="00A028D8" w:rsidP="00A028D8">
      <w:pPr>
        <w:numPr>
          <w:ilvl w:val="0"/>
          <w:numId w:val="3"/>
        </w:numPr>
        <w:pBdr>
          <w:top w:val="nil"/>
          <w:left w:val="nil"/>
          <w:bottom w:val="nil"/>
          <w:right w:val="nil"/>
          <w:between w:val="nil"/>
        </w:pBdr>
        <w:spacing w:line="360" w:lineRule="auto"/>
        <w:jc w:val="both"/>
      </w:pPr>
      <w:r>
        <w:rPr>
          <w:color w:val="000000"/>
        </w:rPr>
        <w:t>While we are aware it is common ground between the parties that these matters might be agreed at detailed approval stage,</w:t>
      </w:r>
      <w:r>
        <w:rPr>
          <w:color w:val="000000"/>
          <w:vertAlign w:val="superscript"/>
        </w:rPr>
        <w:footnoteReference w:id="15"/>
      </w:r>
      <w:r>
        <w:rPr>
          <w:color w:val="000000"/>
        </w:rPr>
        <w:t xml:space="preserve"> </w:t>
      </w:r>
      <w:r>
        <w:t xml:space="preserve">it is our view that means </w:t>
      </w:r>
      <w:r>
        <w:rPr>
          <w:color w:val="000000"/>
        </w:rPr>
        <w:t xml:space="preserve">the Inspector </w:t>
      </w:r>
      <w:r>
        <w:t>cannot</w:t>
      </w:r>
      <w:r>
        <w:rPr>
          <w:color w:val="000000"/>
        </w:rPr>
        <w:t xml:space="preserve"> give</w:t>
      </w:r>
      <w:r>
        <w:t xml:space="preserve"> any</w:t>
      </w:r>
      <w:r>
        <w:rPr>
          <w:color w:val="000000"/>
        </w:rPr>
        <w:t xml:space="preserve"> weight </w:t>
      </w:r>
      <w:r>
        <w:t>to</w:t>
      </w:r>
      <w:r>
        <w:rPr>
          <w:color w:val="000000"/>
        </w:rPr>
        <w:t xml:space="preserve"> these so called </w:t>
      </w:r>
      <w:r>
        <w:t>“commitments”, which may not even materialise at all!</w:t>
      </w:r>
    </w:p>
    <w:p w14:paraId="1C780FCD" w14:textId="77777777" w:rsidR="00A028D8" w:rsidRDefault="00A028D8" w:rsidP="00A028D8">
      <w:pPr>
        <w:pBdr>
          <w:top w:val="nil"/>
          <w:left w:val="nil"/>
          <w:bottom w:val="nil"/>
          <w:right w:val="nil"/>
          <w:between w:val="nil"/>
        </w:pBdr>
        <w:spacing w:line="360" w:lineRule="auto"/>
        <w:ind w:left="720"/>
        <w:jc w:val="both"/>
      </w:pPr>
    </w:p>
    <w:p w14:paraId="4502FE91" w14:textId="77777777" w:rsidR="00A028D8" w:rsidRDefault="00A028D8" w:rsidP="00A028D8">
      <w:pPr>
        <w:numPr>
          <w:ilvl w:val="0"/>
          <w:numId w:val="3"/>
        </w:numPr>
        <w:pBdr>
          <w:top w:val="nil"/>
          <w:left w:val="nil"/>
          <w:bottom w:val="nil"/>
          <w:right w:val="nil"/>
          <w:between w:val="nil"/>
        </w:pBdr>
        <w:spacing w:line="360" w:lineRule="auto"/>
        <w:jc w:val="both"/>
      </w:pPr>
      <w:r>
        <w:rPr>
          <w:color w:val="000000"/>
        </w:rPr>
        <w:t xml:space="preserve">If environmental commitments are to be given weight in the planning balance in favour of the Proposed Development, </w:t>
      </w:r>
      <w:r>
        <w:t>appropriate</w:t>
      </w:r>
      <w:r>
        <w:rPr>
          <w:color w:val="000000"/>
        </w:rPr>
        <w:t xml:space="preserve"> planning conditions or obligations </w:t>
      </w:r>
      <w:r>
        <w:t>must be imposed</w:t>
      </w:r>
      <w:r>
        <w:rPr>
          <w:color w:val="000000"/>
        </w:rPr>
        <w:t xml:space="preserve"> </w:t>
      </w:r>
      <w:r>
        <w:t>on</w:t>
      </w:r>
      <w:r>
        <w:rPr>
          <w:color w:val="000000"/>
        </w:rPr>
        <w:t xml:space="preserve"> the developer </w:t>
      </w:r>
      <w:r>
        <w:rPr>
          <w:b/>
          <w:color w:val="000000"/>
        </w:rPr>
        <w:t>and</w:t>
      </w:r>
      <w:r>
        <w:rPr>
          <w:color w:val="000000"/>
        </w:rPr>
        <w:t xml:space="preserve"> any future operator to deliver on the commitments made</w:t>
      </w:r>
      <w:r>
        <w:t xml:space="preserve">. Without such clear and actionable commitments, no weight can be assigned. </w:t>
      </w:r>
    </w:p>
    <w:p w14:paraId="1EECEB60" w14:textId="77777777" w:rsidR="00A028D8" w:rsidRDefault="00A028D8" w:rsidP="00A028D8">
      <w:pPr>
        <w:pBdr>
          <w:top w:val="nil"/>
          <w:left w:val="nil"/>
          <w:bottom w:val="nil"/>
          <w:right w:val="nil"/>
          <w:between w:val="nil"/>
        </w:pBdr>
        <w:spacing w:line="360" w:lineRule="auto"/>
        <w:ind w:left="720"/>
        <w:jc w:val="both"/>
        <w:rPr>
          <w:color w:val="000000"/>
        </w:rPr>
      </w:pPr>
    </w:p>
    <w:p w14:paraId="020E8E88" w14:textId="77777777" w:rsidR="00A028D8" w:rsidRDefault="00A028D8" w:rsidP="00A028D8"/>
    <w:p w14:paraId="037EA3EB" w14:textId="77777777" w:rsidR="00A028D8" w:rsidRDefault="00A028D8" w:rsidP="00A028D8"/>
    <w:p w14:paraId="6C1DB314" w14:textId="77777777" w:rsidR="00A718CC" w:rsidRDefault="00A718CC"/>
    <w:sectPr w:rsidR="00A718CC" w:rsidSect="00E531E3">
      <w:headerReference w:type="default" r:id="rId11"/>
      <w:pgSz w:w="11906" w:h="16838"/>
      <w:pgMar w:top="3708"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D9C90E" w14:textId="77777777" w:rsidR="001E1A59" w:rsidRDefault="001E1A59" w:rsidP="00E531E3">
      <w:r>
        <w:separator/>
      </w:r>
    </w:p>
  </w:endnote>
  <w:endnote w:type="continuationSeparator" w:id="0">
    <w:p w14:paraId="4D69AB35" w14:textId="77777777" w:rsidR="001E1A59" w:rsidRDefault="001E1A59" w:rsidP="00E531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C7B092" w14:textId="77777777" w:rsidR="001E1A59" w:rsidRDefault="001E1A59" w:rsidP="00E531E3">
      <w:r>
        <w:separator/>
      </w:r>
    </w:p>
  </w:footnote>
  <w:footnote w:type="continuationSeparator" w:id="0">
    <w:p w14:paraId="7E9F4330" w14:textId="77777777" w:rsidR="001E1A59" w:rsidRDefault="001E1A59" w:rsidP="00E531E3">
      <w:r>
        <w:continuationSeparator/>
      </w:r>
    </w:p>
  </w:footnote>
  <w:footnote w:id="1">
    <w:p w14:paraId="283AB250" w14:textId="6B9A33D2" w:rsidR="000D3254" w:rsidRDefault="000D3254">
      <w:pPr>
        <w:pStyle w:val="FootnoteText"/>
      </w:pPr>
      <w:r>
        <w:rPr>
          <w:rStyle w:val="FootnoteReference"/>
        </w:rPr>
        <w:footnoteRef/>
      </w:r>
      <w:r>
        <w:t xml:space="preserve"> </w:t>
      </w:r>
      <w:hyperlink r:id="rId1" w:history="1">
        <w:r w:rsidRPr="008714E0">
          <w:rPr>
            <w:rStyle w:val="Hyperlink"/>
          </w:rPr>
          <w:t>www.foxglove.org.uk</w:t>
        </w:r>
      </w:hyperlink>
      <w:r>
        <w:t xml:space="preserve"> </w:t>
      </w:r>
    </w:p>
  </w:footnote>
  <w:footnote w:id="2">
    <w:p w14:paraId="2C631DCE" w14:textId="77777777" w:rsidR="00A028D8" w:rsidRDefault="00A028D8" w:rsidP="00A028D8">
      <w:pPr>
        <w:pBdr>
          <w:top w:val="nil"/>
          <w:left w:val="nil"/>
          <w:bottom w:val="nil"/>
          <w:right w:val="nil"/>
          <w:between w:val="nil"/>
        </w:pBdr>
        <w:rPr>
          <w:color w:val="000000"/>
          <w:sz w:val="20"/>
          <w:szCs w:val="20"/>
        </w:rPr>
      </w:pPr>
      <w:r>
        <w:rPr>
          <w:rStyle w:val="FootnoteReference"/>
        </w:rPr>
        <w:footnoteRef/>
      </w:r>
      <w:r>
        <w:rPr>
          <w:color w:val="000000"/>
          <w:sz w:val="20"/>
          <w:szCs w:val="20"/>
        </w:rPr>
        <w:t xml:space="preserve"> </w:t>
      </w:r>
      <w:hyperlink r:id="rId2">
        <w:r>
          <w:rPr>
            <w:color w:val="467886"/>
            <w:sz w:val="20"/>
            <w:szCs w:val="20"/>
            <w:u w:val="single"/>
          </w:rPr>
          <w:t>https://www.globalactionplan.org.uk/about-us</w:t>
        </w:r>
      </w:hyperlink>
      <w:r>
        <w:rPr>
          <w:color w:val="000000"/>
          <w:sz w:val="20"/>
          <w:szCs w:val="20"/>
        </w:rPr>
        <w:t xml:space="preserve"> </w:t>
      </w:r>
    </w:p>
  </w:footnote>
  <w:footnote w:id="3">
    <w:p w14:paraId="717B317C" w14:textId="77777777" w:rsidR="00A028D8" w:rsidRDefault="00A028D8" w:rsidP="00A028D8">
      <w:pPr>
        <w:pBdr>
          <w:top w:val="nil"/>
          <w:left w:val="nil"/>
          <w:bottom w:val="nil"/>
          <w:right w:val="nil"/>
          <w:between w:val="nil"/>
        </w:pBdr>
        <w:rPr>
          <w:color w:val="000000"/>
          <w:sz w:val="20"/>
          <w:szCs w:val="20"/>
        </w:rPr>
      </w:pPr>
      <w:r>
        <w:rPr>
          <w:rStyle w:val="FootnoteReference"/>
        </w:rPr>
        <w:footnoteRef/>
      </w:r>
      <w:r>
        <w:rPr>
          <w:color w:val="000000"/>
          <w:sz w:val="20"/>
          <w:szCs w:val="20"/>
        </w:rPr>
        <w:t xml:space="preserve"> CD.I3 South Bucks Council EIA Screening Decision 14 October 2021</w:t>
      </w:r>
    </w:p>
  </w:footnote>
  <w:footnote w:id="4">
    <w:p w14:paraId="1E264973" w14:textId="77777777" w:rsidR="00A028D8" w:rsidRDefault="00A028D8" w:rsidP="00A028D8">
      <w:pPr>
        <w:pBdr>
          <w:top w:val="nil"/>
          <w:left w:val="nil"/>
          <w:bottom w:val="nil"/>
          <w:right w:val="nil"/>
          <w:between w:val="nil"/>
        </w:pBdr>
        <w:rPr>
          <w:color w:val="000000"/>
          <w:sz w:val="20"/>
          <w:szCs w:val="20"/>
        </w:rPr>
      </w:pPr>
      <w:r>
        <w:rPr>
          <w:rStyle w:val="FootnoteReference"/>
        </w:rPr>
        <w:footnoteRef/>
      </w:r>
      <w:r>
        <w:rPr>
          <w:color w:val="000000"/>
          <w:sz w:val="20"/>
          <w:szCs w:val="20"/>
        </w:rPr>
        <w:t xml:space="preserve"> CD.I3 South Bucks Council EIA Screening Decision 14 October 202 </w:t>
      </w:r>
      <w:proofErr w:type="spellStart"/>
      <w:r>
        <w:rPr>
          <w:color w:val="000000"/>
          <w:sz w:val="20"/>
          <w:szCs w:val="20"/>
        </w:rPr>
        <w:t>pg</w:t>
      </w:r>
      <w:proofErr w:type="spellEnd"/>
      <w:r>
        <w:rPr>
          <w:color w:val="000000"/>
          <w:sz w:val="20"/>
          <w:szCs w:val="20"/>
        </w:rPr>
        <w:t xml:space="preserve"> 8</w:t>
      </w:r>
    </w:p>
  </w:footnote>
  <w:footnote w:id="5">
    <w:p w14:paraId="3DDC8DBB" w14:textId="77777777" w:rsidR="00A028D8" w:rsidRDefault="00A028D8" w:rsidP="00A028D8">
      <w:pPr>
        <w:rPr>
          <w:sz w:val="20"/>
          <w:szCs w:val="20"/>
        </w:rPr>
      </w:pPr>
      <w:r>
        <w:rPr>
          <w:rStyle w:val="FootnoteReference"/>
        </w:rPr>
        <w:footnoteRef/>
      </w:r>
      <w:r>
        <w:rPr>
          <w:sz w:val="20"/>
          <w:szCs w:val="20"/>
        </w:rPr>
        <w:t xml:space="preserve"> </w:t>
      </w:r>
      <w:hyperlink r:id="rId3">
        <w:r>
          <w:rPr>
            <w:color w:val="1155CC"/>
            <w:sz w:val="20"/>
            <w:szCs w:val="20"/>
            <w:u w:val="single"/>
          </w:rPr>
          <w:t>https://www.google.com/url?q=https://www.ft.com/content/519f701f-6a05-4cf4-bc46-22cf10c7c2c0&amp;sa=D&amp;source=docs&amp;ust=1733851746668472&amp;usg=AOvVaw3Ggd3sEBtLjwSX1ziGqztA</w:t>
        </w:r>
      </w:hyperlink>
      <w:r>
        <w:rPr>
          <w:sz w:val="20"/>
          <w:szCs w:val="20"/>
        </w:rPr>
        <w:t xml:space="preserve"> </w:t>
      </w:r>
    </w:p>
  </w:footnote>
  <w:footnote w:id="6">
    <w:p w14:paraId="51360750" w14:textId="77777777" w:rsidR="00A028D8" w:rsidRDefault="00A028D8" w:rsidP="00A028D8">
      <w:pPr>
        <w:pBdr>
          <w:top w:val="nil"/>
          <w:left w:val="nil"/>
          <w:bottom w:val="nil"/>
          <w:right w:val="nil"/>
          <w:between w:val="nil"/>
        </w:pBdr>
        <w:rPr>
          <w:color w:val="000000"/>
          <w:sz w:val="20"/>
          <w:szCs w:val="20"/>
        </w:rPr>
      </w:pPr>
      <w:r>
        <w:rPr>
          <w:rStyle w:val="FootnoteReference"/>
        </w:rPr>
        <w:footnoteRef/>
      </w:r>
      <w:r>
        <w:rPr>
          <w:color w:val="000000"/>
          <w:sz w:val="20"/>
          <w:szCs w:val="20"/>
        </w:rPr>
        <w:t xml:space="preserve"> </w:t>
      </w:r>
      <w:r>
        <w:rPr>
          <w:rFonts w:ascii="Aptos" w:eastAsia="Aptos" w:hAnsi="Aptos" w:cs="Aptos"/>
          <w:color w:val="000000"/>
          <w:sz w:val="20"/>
          <w:szCs w:val="20"/>
        </w:rPr>
        <w:t xml:space="preserve">Thames Water's TMS01 PR24 Business plan 2025-2030: </w:t>
      </w:r>
      <w:r>
        <w:rPr>
          <w:color w:val="000000"/>
          <w:sz w:val="20"/>
          <w:szCs w:val="20"/>
        </w:rPr>
        <w:t xml:space="preserve">https://www.thameswater.co.uk/media-library/home/about-us/regulation/our-five-year-plan/pr24-2023/our-business-plan.pdf </w:t>
      </w:r>
    </w:p>
  </w:footnote>
  <w:footnote w:id="7">
    <w:p w14:paraId="20C373BD" w14:textId="77777777" w:rsidR="00A028D8" w:rsidRDefault="00A028D8" w:rsidP="00A028D8">
      <w:pPr>
        <w:pBdr>
          <w:top w:val="nil"/>
          <w:left w:val="nil"/>
          <w:bottom w:val="nil"/>
          <w:right w:val="nil"/>
          <w:between w:val="nil"/>
        </w:pBdr>
        <w:rPr>
          <w:color w:val="000000"/>
          <w:sz w:val="20"/>
          <w:szCs w:val="20"/>
        </w:rPr>
      </w:pPr>
      <w:r>
        <w:rPr>
          <w:rStyle w:val="FootnoteReference"/>
        </w:rPr>
        <w:footnoteRef/>
      </w:r>
      <w:r>
        <w:rPr>
          <w:color w:val="000000"/>
          <w:sz w:val="20"/>
          <w:szCs w:val="20"/>
        </w:rPr>
        <w:t xml:space="preserve"> </w:t>
      </w:r>
      <w:hyperlink r:id="rId4">
        <w:r>
          <w:rPr>
            <w:color w:val="467886"/>
            <w:sz w:val="20"/>
            <w:szCs w:val="20"/>
            <w:u w:val="single"/>
          </w:rPr>
          <w:t>https://www.gov.uk/government/publications/a-review-of-englands-draft-regional-and-water-resources-management-plans/a-summary-of-englands-draft-regional-and-water-resources-management-plans</w:t>
        </w:r>
      </w:hyperlink>
      <w:r>
        <w:rPr>
          <w:color w:val="000000"/>
          <w:sz w:val="20"/>
          <w:szCs w:val="20"/>
        </w:rPr>
        <w:t xml:space="preserve"> </w:t>
      </w:r>
    </w:p>
  </w:footnote>
  <w:footnote w:id="8">
    <w:p w14:paraId="053BCDD0" w14:textId="77777777" w:rsidR="00A028D8" w:rsidRDefault="00A028D8" w:rsidP="00A028D8">
      <w:pPr>
        <w:pBdr>
          <w:top w:val="nil"/>
          <w:left w:val="nil"/>
          <w:bottom w:val="nil"/>
          <w:right w:val="nil"/>
          <w:between w:val="nil"/>
        </w:pBdr>
        <w:rPr>
          <w:color w:val="000000"/>
          <w:sz w:val="20"/>
          <w:szCs w:val="20"/>
        </w:rPr>
      </w:pPr>
      <w:r>
        <w:rPr>
          <w:rStyle w:val="FootnoteReference"/>
        </w:rPr>
        <w:footnoteRef/>
      </w:r>
      <w:r>
        <w:rPr>
          <w:color w:val="000000"/>
          <w:sz w:val="20"/>
          <w:szCs w:val="20"/>
        </w:rPr>
        <w:t xml:space="preserve"> CD.I3 South Bucks Council EIA Screening Decision 14 October 202 </w:t>
      </w:r>
      <w:proofErr w:type="spellStart"/>
      <w:r>
        <w:rPr>
          <w:color w:val="000000"/>
          <w:sz w:val="20"/>
          <w:szCs w:val="20"/>
        </w:rPr>
        <w:t>pg</w:t>
      </w:r>
      <w:proofErr w:type="spellEnd"/>
      <w:r>
        <w:rPr>
          <w:color w:val="000000"/>
          <w:sz w:val="20"/>
          <w:szCs w:val="20"/>
        </w:rPr>
        <w:t xml:space="preserve"> 5</w:t>
      </w:r>
    </w:p>
  </w:footnote>
  <w:footnote w:id="9">
    <w:p w14:paraId="62536839" w14:textId="77777777" w:rsidR="00A028D8" w:rsidRDefault="00A028D8" w:rsidP="00A028D8">
      <w:pPr>
        <w:pBdr>
          <w:top w:val="nil"/>
          <w:left w:val="nil"/>
          <w:bottom w:val="nil"/>
          <w:right w:val="nil"/>
          <w:between w:val="nil"/>
        </w:pBdr>
        <w:rPr>
          <w:b/>
          <w:color w:val="000000"/>
          <w:sz w:val="20"/>
          <w:szCs w:val="20"/>
        </w:rPr>
      </w:pPr>
      <w:r>
        <w:rPr>
          <w:rStyle w:val="FootnoteReference"/>
        </w:rPr>
        <w:footnoteRef/>
      </w:r>
      <w:r>
        <w:rPr>
          <w:color w:val="000000"/>
          <w:sz w:val="20"/>
          <w:szCs w:val="20"/>
        </w:rPr>
        <w:t xml:space="preserve"> </w:t>
      </w:r>
      <w:r>
        <w:rPr>
          <w:i/>
          <w:color w:val="000000"/>
          <w:sz w:val="20"/>
          <w:szCs w:val="20"/>
        </w:rPr>
        <w:t xml:space="preserve">R. (on the application of Bateman) v South Cambridgeshire DC [2011] EWCA </w:t>
      </w:r>
      <w:proofErr w:type="spellStart"/>
      <w:r>
        <w:rPr>
          <w:i/>
          <w:color w:val="000000"/>
          <w:sz w:val="20"/>
          <w:szCs w:val="20"/>
        </w:rPr>
        <w:t>Civ</w:t>
      </w:r>
      <w:proofErr w:type="spellEnd"/>
      <w:r>
        <w:rPr>
          <w:i/>
          <w:color w:val="000000"/>
          <w:sz w:val="20"/>
          <w:szCs w:val="20"/>
        </w:rPr>
        <w:t xml:space="preserve"> 157</w:t>
      </w:r>
    </w:p>
  </w:footnote>
  <w:footnote w:id="10">
    <w:p w14:paraId="34D22D5F" w14:textId="77777777" w:rsidR="00A028D8" w:rsidRDefault="00A028D8" w:rsidP="00A028D8">
      <w:pPr>
        <w:pBdr>
          <w:top w:val="nil"/>
          <w:left w:val="nil"/>
          <w:bottom w:val="nil"/>
          <w:right w:val="nil"/>
          <w:between w:val="nil"/>
        </w:pBdr>
        <w:rPr>
          <w:color w:val="000000"/>
          <w:sz w:val="20"/>
          <w:szCs w:val="20"/>
        </w:rPr>
      </w:pPr>
      <w:r>
        <w:rPr>
          <w:rStyle w:val="FootnoteReference"/>
        </w:rPr>
        <w:footnoteRef/>
      </w:r>
      <w:r>
        <w:rPr>
          <w:color w:val="000000"/>
          <w:sz w:val="20"/>
          <w:szCs w:val="20"/>
        </w:rPr>
        <w:t xml:space="preserve"> CD.A13, Planning Statement, March 2024, VSC(g) Addressing Climate Change, </w:t>
      </w:r>
      <w:proofErr w:type="spellStart"/>
      <w:r>
        <w:rPr>
          <w:color w:val="000000"/>
          <w:sz w:val="20"/>
          <w:szCs w:val="20"/>
        </w:rPr>
        <w:t>pg</w:t>
      </w:r>
      <w:proofErr w:type="spellEnd"/>
      <w:r>
        <w:rPr>
          <w:color w:val="000000"/>
          <w:sz w:val="20"/>
          <w:szCs w:val="20"/>
        </w:rPr>
        <w:t xml:space="preserve"> 55</w:t>
      </w:r>
    </w:p>
  </w:footnote>
  <w:footnote w:id="11">
    <w:p w14:paraId="7E23671B" w14:textId="77777777" w:rsidR="00A028D8" w:rsidRDefault="00A028D8" w:rsidP="00A028D8">
      <w:pPr>
        <w:pBdr>
          <w:top w:val="nil"/>
          <w:left w:val="nil"/>
          <w:bottom w:val="nil"/>
          <w:right w:val="nil"/>
          <w:between w:val="nil"/>
        </w:pBdr>
        <w:rPr>
          <w:color w:val="000000"/>
          <w:sz w:val="20"/>
          <w:szCs w:val="20"/>
        </w:rPr>
      </w:pPr>
      <w:r>
        <w:rPr>
          <w:rStyle w:val="FootnoteReference"/>
        </w:rPr>
        <w:footnoteRef/>
      </w:r>
      <w:r>
        <w:rPr>
          <w:color w:val="000000"/>
          <w:sz w:val="20"/>
          <w:szCs w:val="20"/>
        </w:rPr>
        <w:t xml:space="preserve"> CD.A29 Energy Statement, February 2024</w:t>
      </w:r>
    </w:p>
  </w:footnote>
  <w:footnote w:id="12">
    <w:p w14:paraId="2F376F98" w14:textId="77777777" w:rsidR="00A028D8" w:rsidRDefault="00A028D8" w:rsidP="00A028D8">
      <w:pPr>
        <w:pBdr>
          <w:top w:val="nil"/>
          <w:left w:val="nil"/>
          <w:bottom w:val="nil"/>
          <w:right w:val="nil"/>
          <w:between w:val="nil"/>
        </w:pBdr>
        <w:rPr>
          <w:color w:val="000000"/>
          <w:sz w:val="20"/>
          <w:szCs w:val="20"/>
        </w:rPr>
      </w:pPr>
      <w:r>
        <w:rPr>
          <w:rStyle w:val="FootnoteReference"/>
        </w:rPr>
        <w:footnoteRef/>
      </w:r>
      <w:r>
        <w:rPr>
          <w:color w:val="000000"/>
          <w:sz w:val="20"/>
          <w:szCs w:val="20"/>
        </w:rPr>
        <w:t xml:space="preserve"> Regulated energy is energy consumed by a building and it's controlled, fixed services and systems, including heating, cooling, hot water, ventilation, fans, pumps and lighting.</w:t>
      </w:r>
    </w:p>
  </w:footnote>
  <w:footnote w:id="13">
    <w:p w14:paraId="7CC0EC90" w14:textId="77777777" w:rsidR="00A028D8" w:rsidRDefault="00A028D8" w:rsidP="00A028D8">
      <w:pPr>
        <w:pBdr>
          <w:top w:val="nil"/>
          <w:left w:val="nil"/>
          <w:bottom w:val="nil"/>
          <w:right w:val="nil"/>
          <w:between w:val="nil"/>
        </w:pBdr>
        <w:rPr>
          <w:color w:val="000000"/>
          <w:sz w:val="20"/>
          <w:szCs w:val="20"/>
        </w:rPr>
      </w:pPr>
      <w:r>
        <w:rPr>
          <w:rStyle w:val="FootnoteReference"/>
        </w:rPr>
        <w:footnoteRef/>
      </w:r>
      <w:r>
        <w:rPr>
          <w:color w:val="000000"/>
          <w:sz w:val="20"/>
          <w:szCs w:val="20"/>
        </w:rPr>
        <w:t xml:space="preserve"> CD.A29 Energy Statement, February 2024 §8.1</w:t>
      </w:r>
    </w:p>
  </w:footnote>
  <w:footnote w:id="14">
    <w:p w14:paraId="1040420F" w14:textId="77777777" w:rsidR="00A028D8" w:rsidRDefault="00A028D8" w:rsidP="00A028D8">
      <w:pPr>
        <w:pBdr>
          <w:top w:val="nil"/>
          <w:left w:val="nil"/>
          <w:bottom w:val="nil"/>
          <w:right w:val="nil"/>
          <w:between w:val="nil"/>
        </w:pBdr>
        <w:rPr>
          <w:color w:val="000000"/>
          <w:sz w:val="20"/>
          <w:szCs w:val="20"/>
        </w:rPr>
      </w:pPr>
      <w:r>
        <w:rPr>
          <w:rStyle w:val="FootnoteReference"/>
        </w:rPr>
        <w:footnoteRef/>
      </w:r>
      <w:r>
        <w:rPr>
          <w:color w:val="000000"/>
          <w:sz w:val="20"/>
          <w:szCs w:val="20"/>
        </w:rPr>
        <w:t xml:space="preserve"> CD.A28 Sustainability Statement, February 2024 §7.3</w:t>
      </w:r>
    </w:p>
  </w:footnote>
  <w:footnote w:id="15">
    <w:p w14:paraId="0C32E297" w14:textId="77777777" w:rsidR="00A028D8" w:rsidRDefault="00A028D8" w:rsidP="00A028D8">
      <w:pPr>
        <w:pBdr>
          <w:top w:val="nil"/>
          <w:left w:val="nil"/>
          <w:bottom w:val="nil"/>
          <w:right w:val="nil"/>
          <w:between w:val="nil"/>
        </w:pBdr>
        <w:rPr>
          <w:color w:val="000000"/>
          <w:sz w:val="20"/>
          <w:szCs w:val="20"/>
        </w:rPr>
      </w:pPr>
      <w:r>
        <w:rPr>
          <w:rStyle w:val="FootnoteReference"/>
        </w:rPr>
        <w:footnoteRef/>
      </w:r>
      <w:r>
        <w:rPr>
          <w:color w:val="000000"/>
          <w:sz w:val="20"/>
          <w:szCs w:val="20"/>
        </w:rPr>
        <w:t xml:space="preserve"> CD.H6a, Statement of Common Ground, </w:t>
      </w:r>
      <w:proofErr w:type="spellStart"/>
      <w:r>
        <w:rPr>
          <w:color w:val="000000"/>
          <w:sz w:val="20"/>
          <w:szCs w:val="20"/>
        </w:rPr>
        <w:t>pg</w:t>
      </w:r>
      <w:proofErr w:type="spellEnd"/>
      <w:r>
        <w:rPr>
          <w:color w:val="000000"/>
          <w:sz w:val="20"/>
          <w:szCs w:val="20"/>
        </w:rPr>
        <w:t xml:space="preserve"> 19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114674" w14:textId="77777777" w:rsidR="00E531E3" w:rsidRDefault="00E531E3">
    <w:pPr>
      <w:pStyle w:val="Header"/>
    </w:pPr>
    <w:r>
      <w:rPr>
        <w:noProof/>
      </w:rPr>
      <w:drawing>
        <wp:anchor distT="0" distB="0" distL="114300" distR="114300" simplePos="0" relativeHeight="251658240" behindDoc="1" locked="0" layoutInCell="1" allowOverlap="1" wp14:anchorId="5E134FB7" wp14:editId="25E5F80C">
          <wp:simplePos x="0" y="0"/>
          <wp:positionH relativeFrom="column">
            <wp:posOffset>-897468</wp:posOffset>
          </wp:positionH>
          <wp:positionV relativeFrom="paragraph">
            <wp:posOffset>-441113</wp:posOffset>
          </wp:positionV>
          <wp:extent cx="7552267" cy="10687976"/>
          <wp:effectExtent l="0" t="0" r="4445" b="5715"/>
          <wp:wrapNone/>
          <wp:docPr id="4921721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2172108" name="Picture 492172108"/>
                  <pic:cNvPicPr/>
                </pic:nvPicPr>
                <pic:blipFill>
                  <a:blip r:embed="rId1">
                    <a:extLst>
                      <a:ext uri="{28A0092B-C50C-407E-A947-70E740481C1C}">
                        <a14:useLocalDpi xmlns:a14="http://schemas.microsoft.com/office/drawing/2010/main" val="0"/>
                      </a:ext>
                    </a:extLst>
                  </a:blip>
                  <a:stretch>
                    <a:fillRect/>
                  </a:stretch>
                </pic:blipFill>
                <pic:spPr>
                  <a:xfrm>
                    <a:off x="0" y="0"/>
                    <a:ext cx="7563881" cy="10704413"/>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6A5D88"/>
    <w:multiLevelType w:val="multilevel"/>
    <w:tmpl w:val="FB848A3E"/>
    <w:lvl w:ilvl="0">
      <w:start w:val="1"/>
      <w:numFmt w:val="decimal"/>
      <w:lvlText w:val="%1."/>
      <w:lvlJc w:val="left"/>
      <w:pPr>
        <w:ind w:left="720" w:hanging="360"/>
      </w:pPr>
    </w:lvl>
    <w:lvl w:ilvl="1">
      <w:start w:val="5"/>
      <w:numFmt w:val="decimal"/>
      <w:lvlText w:val="%1.%2"/>
      <w:lvlJc w:val="left"/>
      <w:pPr>
        <w:ind w:left="1440" w:hanging="360"/>
      </w:pPr>
    </w:lvl>
    <w:lvl w:ilvl="2">
      <w:start w:val="1"/>
      <w:numFmt w:val="decimal"/>
      <w:lvlText w:val="%1.%2.%3"/>
      <w:lvlJc w:val="left"/>
      <w:pPr>
        <w:ind w:left="2520" w:hanging="720"/>
      </w:pPr>
    </w:lvl>
    <w:lvl w:ilvl="3">
      <w:start w:val="1"/>
      <w:numFmt w:val="decimal"/>
      <w:lvlText w:val="%1.%2.%3.%4"/>
      <w:lvlJc w:val="left"/>
      <w:pPr>
        <w:ind w:left="3240" w:hanging="720"/>
      </w:pPr>
    </w:lvl>
    <w:lvl w:ilvl="4">
      <w:start w:val="1"/>
      <w:numFmt w:val="decimal"/>
      <w:lvlText w:val="%1.%2.%3.%4.%5"/>
      <w:lvlJc w:val="left"/>
      <w:pPr>
        <w:ind w:left="4320" w:hanging="1080"/>
      </w:pPr>
    </w:lvl>
    <w:lvl w:ilvl="5">
      <w:start w:val="1"/>
      <w:numFmt w:val="decimal"/>
      <w:lvlText w:val="%1.%2.%3.%4.%5.%6"/>
      <w:lvlJc w:val="left"/>
      <w:pPr>
        <w:ind w:left="5040" w:hanging="1080"/>
      </w:pPr>
    </w:lvl>
    <w:lvl w:ilvl="6">
      <w:start w:val="1"/>
      <w:numFmt w:val="decimal"/>
      <w:lvlText w:val="%1.%2.%3.%4.%5.%6.%7"/>
      <w:lvlJc w:val="left"/>
      <w:pPr>
        <w:ind w:left="6120" w:hanging="1440"/>
      </w:pPr>
    </w:lvl>
    <w:lvl w:ilvl="7">
      <w:start w:val="1"/>
      <w:numFmt w:val="decimal"/>
      <w:lvlText w:val="%1.%2.%3.%4.%5.%6.%7.%8"/>
      <w:lvlJc w:val="left"/>
      <w:pPr>
        <w:ind w:left="6840" w:hanging="1440"/>
      </w:pPr>
    </w:lvl>
    <w:lvl w:ilvl="8">
      <w:start w:val="1"/>
      <w:numFmt w:val="decimal"/>
      <w:lvlText w:val="%1.%2.%3.%4.%5.%6.%7.%8.%9"/>
      <w:lvlJc w:val="left"/>
      <w:pPr>
        <w:ind w:left="7560" w:hanging="1440"/>
      </w:pPr>
    </w:lvl>
  </w:abstractNum>
  <w:abstractNum w:abstractNumId="1" w15:restartNumberingAfterBreak="0">
    <w:nsid w:val="270D5D16"/>
    <w:multiLevelType w:val="multilevel"/>
    <w:tmpl w:val="CF5816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45E616A"/>
    <w:multiLevelType w:val="multilevel"/>
    <w:tmpl w:val="E1F0707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003706516">
    <w:abstractNumId w:val="0"/>
  </w:num>
  <w:num w:numId="2" w16cid:durableId="1924139153">
    <w:abstractNumId w:val="2"/>
  </w:num>
  <w:num w:numId="3" w16cid:durableId="5109922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8D8"/>
    <w:rsid w:val="000A15DA"/>
    <w:rsid w:val="000D3254"/>
    <w:rsid w:val="001E1A59"/>
    <w:rsid w:val="004B2337"/>
    <w:rsid w:val="00A028D8"/>
    <w:rsid w:val="00A10390"/>
    <w:rsid w:val="00A718CC"/>
    <w:rsid w:val="00AB5937"/>
    <w:rsid w:val="00C330A4"/>
    <w:rsid w:val="00E531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F7D01E"/>
  <w15:chartTrackingRefBased/>
  <w15:docId w15:val="{2197F0E9-BA75-564C-BC95-619171347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28D8"/>
    <w:rPr>
      <w:rFonts w:ascii="Times New Roman" w:eastAsia="Times New Roman" w:hAnsi="Times New Roman" w:cs="Times New Roman"/>
      <w:kern w:val="0"/>
      <w:sz w:val="22"/>
      <w:szCs w:val="22"/>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31E3"/>
    <w:pPr>
      <w:tabs>
        <w:tab w:val="center" w:pos="4513"/>
        <w:tab w:val="right" w:pos="9026"/>
      </w:tabs>
    </w:pPr>
  </w:style>
  <w:style w:type="character" w:customStyle="1" w:styleId="HeaderChar">
    <w:name w:val="Header Char"/>
    <w:basedOn w:val="DefaultParagraphFont"/>
    <w:link w:val="Header"/>
    <w:uiPriority w:val="99"/>
    <w:rsid w:val="00E531E3"/>
    <w:rPr>
      <w:rFonts w:eastAsiaTheme="minorEastAsia"/>
    </w:rPr>
  </w:style>
  <w:style w:type="paragraph" w:styleId="Footer">
    <w:name w:val="footer"/>
    <w:basedOn w:val="Normal"/>
    <w:link w:val="FooterChar"/>
    <w:uiPriority w:val="99"/>
    <w:unhideWhenUsed/>
    <w:rsid w:val="00E531E3"/>
    <w:pPr>
      <w:tabs>
        <w:tab w:val="center" w:pos="4513"/>
        <w:tab w:val="right" w:pos="9026"/>
      </w:tabs>
    </w:pPr>
  </w:style>
  <w:style w:type="character" w:customStyle="1" w:styleId="FooterChar">
    <w:name w:val="Footer Char"/>
    <w:basedOn w:val="DefaultParagraphFont"/>
    <w:link w:val="Footer"/>
    <w:uiPriority w:val="99"/>
    <w:rsid w:val="00E531E3"/>
    <w:rPr>
      <w:rFonts w:eastAsiaTheme="minorEastAsia"/>
    </w:rPr>
  </w:style>
  <w:style w:type="character" w:styleId="FootnoteReference">
    <w:name w:val="footnote reference"/>
    <w:basedOn w:val="DefaultParagraphFont"/>
    <w:uiPriority w:val="99"/>
    <w:semiHidden/>
    <w:unhideWhenUsed/>
    <w:rsid w:val="00A028D8"/>
    <w:rPr>
      <w:vertAlign w:val="superscript"/>
    </w:rPr>
  </w:style>
  <w:style w:type="paragraph" w:styleId="FootnoteText">
    <w:name w:val="footnote text"/>
    <w:basedOn w:val="Normal"/>
    <w:link w:val="FootnoteTextChar"/>
    <w:uiPriority w:val="99"/>
    <w:semiHidden/>
    <w:unhideWhenUsed/>
    <w:rsid w:val="000D3254"/>
    <w:rPr>
      <w:sz w:val="20"/>
      <w:szCs w:val="20"/>
    </w:rPr>
  </w:style>
  <w:style w:type="character" w:customStyle="1" w:styleId="FootnoteTextChar">
    <w:name w:val="Footnote Text Char"/>
    <w:basedOn w:val="DefaultParagraphFont"/>
    <w:link w:val="FootnoteText"/>
    <w:uiPriority w:val="99"/>
    <w:semiHidden/>
    <w:rsid w:val="000D3254"/>
    <w:rPr>
      <w:rFonts w:ascii="Times New Roman" w:eastAsia="Times New Roman" w:hAnsi="Times New Roman" w:cs="Times New Roman"/>
      <w:kern w:val="0"/>
      <w:sz w:val="20"/>
      <w:szCs w:val="20"/>
      <w:lang w:eastAsia="en-GB"/>
      <w14:ligatures w14:val="none"/>
    </w:rPr>
  </w:style>
  <w:style w:type="character" w:styleId="Hyperlink">
    <w:name w:val="Hyperlink"/>
    <w:basedOn w:val="DefaultParagraphFont"/>
    <w:uiPriority w:val="99"/>
    <w:unhideWhenUsed/>
    <w:rsid w:val="000D3254"/>
    <w:rPr>
      <w:color w:val="0563C1" w:themeColor="hyperlink"/>
      <w:u w:val="single"/>
    </w:rPr>
  </w:style>
  <w:style w:type="character" w:styleId="UnresolvedMention">
    <w:name w:val="Unresolved Mention"/>
    <w:basedOn w:val="DefaultParagraphFont"/>
    <w:uiPriority w:val="99"/>
    <w:semiHidden/>
    <w:unhideWhenUsed/>
    <w:rsid w:val="000D32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3" Type="http://schemas.openxmlformats.org/officeDocument/2006/relationships/hyperlink" Target="https://www.ft.com/content/519f701f-6a05-4cf4-bc46-22cf10c7c2c0" TargetMode="External"/><Relationship Id="rId2" Type="http://schemas.openxmlformats.org/officeDocument/2006/relationships/hyperlink" Target="https://www.globalactionplan.org.uk/about-us" TargetMode="External"/><Relationship Id="rId1" Type="http://schemas.openxmlformats.org/officeDocument/2006/relationships/hyperlink" Target="http://www.foxglove.org.uk" TargetMode="External"/><Relationship Id="rId4" Type="http://schemas.openxmlformats.org/officeDocument/2006/relationships/hyperlink" Target="https://www.gov.uk/government/publications/a-review-of-englands-draft-regional-and-water-resources-management-plans/a-summary-of-englands-draft-regional-and-water-resources-management-plan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Users/marthadark/Downloads/0000_00_00%20letterhead%20for%20us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A6750FF9DCAC542A234F25A158196AF" ma:contentTypeVersion="8" ma:contentTypeDescription="Create a new document." ma:contentTypeScope="" ma:versionID="67744841e9b842d657ca00347e007dab">
  <xsd:schema xmlns:xsd="http://www.w3.org/2001/XMLSchema" xmlns:xs="http://www.w3.org/2001/XMLSchema" xmlns:p="http://schemas.microsoft.com/office/2006/metadata/properties" xmlns:ns2="3502c024-9837-4792-976f-52a5937ff28b" xmlns:ns3="dc4d6b51-9c56-4b6e-b6ae-7abd268fd9ad" targetNamespace="http://schemas.microsoft.com/office/2006/metadata/properties" ma:root="true" ma:fieldsID="7be6be05fa9fce5d350e0f61b9e0ba7a" ns2:_="" ns3:_="">
    <xsd:import namespace="3502c024-9837-4792-976f-52a5937ff28b"/>
    <xsd:import namespace="dc4d6b51-9c56-4b6e-b6ae-7abd268fd9a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02c024-9837-4792-976f-52a5937ff2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c4d6b51-9c56-4b6e-b6ae-7abd268fd9a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820E19-4E14-4673-986D-19D20FBC818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302FEAC-D46B-4490-BEE0-B2BDF720FB37}">
  <ds:schemaRefs>
    <ds:schemaRef ds:uri="http://schemas.microsoft.com/sharepoint/v3/contenttype/forms"/>
  </ds:schemaRefs>
</ds:datastoreItem>
</file>

<file path=customXml/itemProps3.xml><?xml version="1.0" encoding="utf-8"?>
<ds:datastoreItem xmlns:ds="http://schemas.openxmlformats.org/officeDocument/2006/customXml" ds:itemID="{42F857E3-31F7-48E1-AC17-E8442009F0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02c024-9837-4792-976f-52a5937ff28b"/>
    <ds:schemaRef ds:uri="dc4d6b51-9c56-4b6e-b6ae-7abd268fd9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DD8EBF1-D6DC-1042-B636-1E95F592A0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0000_00_00 letterhead for use.dotx</Template>
  <TotalTime>7</TotalTime>
  <Pages>6</Pages>
  <Words>1353</Words>
  <Characters>7715</Characters>
  <Application>Microsoft Office Word</Application>
  <DocSecurity>0</DocSecurity>
  <Lines>64</Lines>
  <Paragraphs>18</Paragraphs>
  <ScaleCrop>false</ScaleCrop>
  <Company/>
  <LinksUpToDate>false</LinksUpToDate>
  <CharactersWithSpaces>9050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Martha Dark</dc:creator>
  <cp:keywords/>
  <dc:description/>
  <cp:lastModifiedBy>Martha  Dark</cp:lastModifiedBy>
  <cp:revision>3</cp:revision>
  <dcterms:created xsi:type="dcterms:W3CDTF">2024-12-10T21:42:00Z</dcterms:created>
  <dcterms:modified xsi:type="dcterms:W3CDTF">2024-12-10T21:49:00Z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0x010100AA6750FF9DCAC542A234F25A158196AF</vt:lpwstr>
  </property>
</Properties>
</file>